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47BA" w14:textId="0B15867A" w:rsidR="000355A5" w:rsidRPr="003A3663" w:rsidRDefault="004625CE" w:rsidP="003A3663">
      <w:pPr>
        <w:spacing w:before="120" w:after="0"/>
        <w:ind w:left="-709" w:right="-612"/>
        <w:jc w:val="center"/>
        <w:rPr>
          <w:rFonts w:ascii="Sheffield Headline" w:hAnsi="Sheffield Headline" w:cs="Arial"/>
          <w:color w:val="799C4B" w:themeColor="text2"/>
          <w:sz w:val="28"/>
          <w:szCs w:val="28"/>
        </w:rPr>
      </w:pPr>
      <w:r>
        <w:rPr>
          <w:rFonts w:ascii="Sheffield Headline" w:hAnsi="Sheffield Headline" w:cs="Arial"/>
          <w:color w:val="799C4B" w:themeColor="text2"/>
          <w:sz w:val="28"/>
          <w:szCs w:val="28"/>
        </w:rPr>
        <w:t>APPG Inquiry on Post-</w:t>
      </w:r>
      <w:r w:rsidR="000650E7" w:rsidRPr="003A3663">
        <w:rPr>
          <w:rFonts w:ascii="Sheffield Headline" w:hAnsi="Sheffield Headline" w:cs="Arial"/>
          <w:color w:val="799C4B" w:themeColor="text2"/>
          <w:sz w:val="28"/>
          <w:szCs w:val="28"/>
        </w:rPr>
        <w:t>Brexit Funding</w:t>
      </w:r>
    </w:p>
    <w:p w14:paraId="3343293E" w14:textId="77777777" w:rsidR="004D5480" w:rsidRPr="00B72066" w:rsidRDefault="004D5480" w:rsidP="003A3663">
      <w:pPr>
        <w:spacing w:after="0"/>
        <w:ind w:left="-709" w:right="-612"/>
        <w:jc w:val="center"/>
        <w:rPr>
          <w:rFonts w:ascii="Sheffield Headline" w:hAnsi="Sheffield Headline" w:cs="Arial"/>
          <w:color w:val="799C4B" w:themeColor="text2"/>
          <w:sz w:val="24"/>
          <w:szCs w:val="24"/>
        </w:rPr>
      </w:pPr>
    </w:p>
    <w:p w14:paraId="2E62422B" w14:textId="633C993A" w:rsidR="004D031D" w:rsidRPr="003A3663" w:rsidRDefault="00D80D4B" w:rsidP="003A3663">
      <w:pPr>
        <w:spacing w:before="120" w:after="0"/>
      </w:pPr>
      <w:r w:rsidRPr="003A3663">
        <w:t>Sheffield City Region welcomes the opportunity to respond to this inquiry</w:t>
      </w:r>
      <w:r w:rsidR="002F0A07" w:rsidRPr="003A3663">
        <w:t xml:space="preserve"> on post-Brexit funding</w:t>
      </w:r>
      <w:r w:rsidR="00A67F98" w:rsidRPr="003A3663">
        <w:t xml:space="preserve"> for nations, regions and local areas.  Our response provides answers to the questions that are most pertinent to the Sheffield City Region but also</w:t>
      </w:r>
      <w:r w:rsidR="00D83554" w:rsidRPr="003A3663">
        <w:t xml:space="preserve"> includes </w:t>
      </w:r>
      <w:r w:rsidR="00E52B26" w:rsidRPr="003A3663">
        <w:t xml:space="preserve">additional </w:t>
      </w:r>
      <w:r w:rsidR="00D83554" w:rsidRPr="003A3663">
        <w:t xml:space="preserve">comments that the APPG may find </w:t>
      </w:r>
      <w:r w:rsidR="00E52B26" w:rsidRPr="003A3663">
        <w:t>insightful</w:t>
      </w:r>
      <w:r w:rsidR="00D83554" w:rsidRPr="003A3663">
        <w:t>.</w:t>
      </w:r>
    </w:p>
    <w:p w14:paraId="52FE2E12" w14:textId="26CF2694" w:rsidR="00D80D4B" w:rsidRPr="003A3663" w:rsidRDefault="00D80D4B" w:rsidP="003A3663">
      <w:pPr>
        <w:spacing w:after="0"/>
      </w:pPr>
      <w:r>
        <w:rPr>
          <w:sz w:val="24"/>
          <w:szCs w:val="24"/>
        </w:rPr>
        <w:t xml:space="preserve"> </w:t>
      </w:r>
    </w:p>
    <w:p w14:paraId="7CA91636" w14:textId="1F6B750E" w:rsidR="003C6919" w:rsidRPr="00425ED5" w:rsidRDefault="007D0944" w:rsidP="003A3663">
      <w:pPr>
        <w:spacing w:before="120" w:after="120"/>
        <w:rPr>
          <w:rFonts w:ascii="Sheffield Headline" w:hAnsi="Sheffield Headline" w:cstheme="minorHAnsi"/>
          <w:color w:val="799C4B" w:themeColor="text2"/>
          <w:sz w:val="24"/>
          <w:szCs w:val="24"/>
        </w:rPr>
      </w:pPr>
      <w:r w:rsidRPr="00425ED5">
        <w:rPr>
          <w:rFonts w:ascii="Sheffield Headline" w:hAnsi="Sheffield Headline" w:cstheme="minorHAnsi"/>
          <w:color w:val="799C4B" w:themeColor="text2"/>
          <w:sz w:val="24"/>
          <w:szCs w:val="24"/>
        </w:rPr>
        <w:t>Overall Budget</w:t>
      </w:r>
    </w:p>
    <w:p w14:paraId="33D8441C" w14:textId="2DF47692" w:rsidR="003C6919" w:rsidRPr="003A3663" w:rsidRDefault="00D7688D" w:rsidP="003A3663">
      <w:pPr>
        <w:spacing w:after="0"/>
        <w:rPr>
          <w:rFonts w:cstheme="minorHAnsi"/>
          <w:b/>
        </w:rPr>
      </w:pPr>
      <w:r w:rsidRPr="003A3663">
        <w:rPr>
          <w:rFonts w:cstheme="minorHAnsi"/>
          <w:b/>
        </w:rPr>
        <w:t>What would be an appropriate annual budget for the new UK Shared Prosperity Fund? (Question 1)</w:t>
      </w:r>
    </w:p>
    <w:p w14:paraId="1CB1DFDA" w14:textId="53999301" w:rsidR="004D5480" w:rsidRPr="003A3663" w:rsidRDefault="003C6919" w:rsidP="003A3663">
      <w:pPr>
        <w:spacing w:after="0"/>
        <w:rPr>
          <w:rFonts w:cstheme="minorHAnsi"/>
        </w:rPr>
      </w:pPr>
      <w:r w:rsidRPr="003A3663">
        <w:rPr>
          <w:rFonts w:cstheme="minorHAnsi"/>
        </w:rPr>
        <w:t>The budget for the UK Shared Prosperity Fun</w:t>
      </w:r>
      <w:r w:rsidR="00E52B26" w:rsidRPr="003A3663">
        <w:rPr>
          <w:rFonts w:cstheme="minorHAnsi"/>
        </w:rPr>
        <w:t>d (UKSPF) should ensure that</w:t>
      </w:r>
      <w:r w:rsidRPr="003A3663">
        <w:rPr>
          <w:rFonts w:cstheme="minorHAnsi"/>
        </w:rPr>
        <w:t xml:space="preserve"> </w:t>
      </w:r>
      <w:r w:rsidR="00BD1005" w:rsidRPr="003A3663">
        <w:rPr>
          <w:rFonts w:cstheme="minorHAnsi"/>
        </w:rPr>
        <w:t>regions and nations</w:t>
      </w:r>
      <w:r w:rsidRPr="003A3663">
        <w:rPr>
          <w:rFonts w:cstheme="minorHAnsi"/>
        </w:rPr>
        <w:t xml:space="preserve"> do not receive a reduction in what they would have received if the UK had not voted to leave the European Union.  This </w:t>
      </w:r>
      <w:r w:rsidR="00E2631B" w:rsidRPr="003A3663">
        <w:rPr>
          <w:rFonts w:cstheme="minorHAnsi"/>
        </w:rPr>
        <w:t xml:space="preserve">should be the minimum allocated.  </w:t>
      </w:r>
      <w:r w:rsidRPr="003A3663">
        <w:rPr>
          <w:rFonts w:cstheme="minorHAnsi"/>
        </w:rPr>
        <w:t xml:space="preserve">Allowing for inflation, </w:t>
      </w:r>
      <w:r w:rsidR="0095335F" w:rsidRPr="003A3663">
        <w:rPr>
          <w:rFonts w:cstheme="minorHAnsi"/>
        </w:rPr>
        <w:t xml:space="preserve">and </w:t>
      </w:r>
      <w:proofErr w:type="gramStart"/>
      <w:r w:rsidR="0095335F" w:rsidRPr="003A3663">
        <w:rPr>
          <w:rFonts w:cstheme="minorHAnsi"/>
        </w:rPr>
        <w:t>assuming that</w:t>
      </w:r>
      <w:proofErr w:type="gramEnd"/>
      <w:r w:rsidR="0095335F" w:rsidRPr="003A3663">
        <w:rPr>
          <w:rFonts w:cstheme="minorHAnsi"/>
        </w:rPr>
        <w:t xml:space="preserve"> the UKSPF would also replace the Local Growth Fund (LGF)</w:t>
      </w:r>
      <w:r w:rsidR="002E41E4">
        <w:rPr>
          <w:rFonts w:cstheme="minorHAnsi"/>
        </w:rPr>
        <w:t>,</w:t>
      </w:r>
      <w:r w:rsidR="0095335F" w:rsidRPr="003A3663">
        <w:rPr>
          <w:rFonts w:cstheme="minorHAnsi"/>
        </w:rPr>
        <w:t xml:space="preserve"> </w:t>
      </w:r>
      <w:r w:rsidR="0091422F" w:rsidRPr="003A3663">
        <w:rPr>
          <w:rFonts w:cstheme="minorHAnsi"/>
        </w:rPr>
        <w:t>the Sheffield City Region</w:t>
      </w:r>
      <w:r w:rsidR="00471FE3" w:rsidRPr="003A3663">
        <w:rPr>
          <w:rFonts w:cstheme="minorHAnsi"/>
        </w:rPr>
        <w:t xml:space="preserve"> propose</w:t>
      </w:r>
      <w:r w:rsidR="0091422F" w:rsidRPr="003A3663">
        <w:rPr>
          <w:rFonts w:cstheme="minorHAnsi"/>
        </w:rPr>
        <w:t>s</w:t>
      </w:r>
      <w:r w:rsidR="00471FE3" w:rsidRPr="003A3663">
        <w:rPr>
          <w:rFonts w:cstheme="minorHAnsi"/>
        </w:rPr>
        <w:t xml:space="preserve"> that </w:t>
      </w:r>
      <w:r w:rsidRPr="003A3663">
        <w:rPr>
          <w:rFonts w:cstheme="minorHAnsi"/>
        </w:rPr>
        <w:t xml:space="preserve">the annual </w:t>
      </w:r>
      <w:r w:rsidR="00036895" w:rsidRPr="003A3663">
        <w:rPr>
          <w:rFonts w:cstheme="minorHAnsi"/>
        </w:rPr>
        <w:t xml:space="preserve">UKSPF </w:t>
      </w:r>
      <w:r w:rsidRPr="003A3663">
        <w:rPr>
          <w:rFonts w:cstheme="minorHAnsi"/>
        </w:rPr>
        <w:t xml:space="preserve">budget </w:t>
      </w:r>
      <w:r w:rsidR="00471FE3" w:rsidRPr="003A3663">
        <w:rPr>
          <w:rFonts w:cstheme="minorHAnsi"/>
        </w:rPr>
        <w:t xml:space="preserve">for </w:t>
      </w:r>
      <w:r w:rsidR="00250B4D" w:rsidRPr="003A3663">
        <w:rPr>
          <w:rFonts w:cstheme="minorHAnsi"/>
        </w:rPr>
        <w:t xml:space="preserve">England </w:t>
      </w:r>
      <w:r w:rsidR="00471FE3" w:rsidRPr="003A3663">
        <w:rPr>
          <w:rFonts w:cstheme="minorHAnsi"/>
        </w:rPr>
        <w:t xml:space="preserve">should be </w:t>
      </w:r>
      <w:r w:rsidRPr="003A3663">
        <w:rPr>
          <w:rFonts w:cstheme="minorHAnsi"/>
        </w:rPr>
        <w:t>at least £</w:t>
      </w:r>
      <w:r w:rsidR="00ED6108" w:rsidRPr="003A3663">
        <w:rPr>
          <w:rFonts w:cstheme="minorHAnsi"/>
        </w:rPr>
        <w:t>3</w:t>
      </w:r>
      <w:r w:rsidR="00471FE3" w:rsidRPr="003A3663">
        <w:rPr>
          <w:rFonts w:cstheme="minorHAnsi"/>
        </w:rPr>
        <w:t xml:space="preserve"> </w:t>
      </w:r>
      <w:r w:rsidRPr="003A3663">
        <w:rPr>
          <w:rFonts w:cstheme="minorHAnsi"/>
        </w:rPr>
        <w:t>b</w:t>
      </w:r>
      <w:r w:rsidR="00471FE3" w:rsidRPr="003A3663">
        <w:rPr>
          <w:rFonts w:cstheme="minorHAnsi"/>
        </w:rPr>
        <w:t>illion</w:t>
      </w:r>
      <w:r w:rsidRPr="003A3663">
        <w:rPr>
          <w:rFonts w:cstheme="minorHAnsi"/>
        </w:rPr>
        <w:t xml:space="preserve"> per </w:t>
      </w:r>
      <w:r w:rsidR="00471FE3" w:rsidRPr="003A3663">
        <w:rPr>
          <w:rFonts w:cstheme="minorHAnsi"/>
        </w:rPr>
        <w:t>annum</w:t>
      </w:r>
      <w:r w:rsidRPr="003A3663">
        <w:rPr>
          <w:rFonts w:cstheme="minorHAnsi"/>
        </w:rPr>
        <w:t>.</w:t>
      </w:r>
      <w:r w:rsidR="007D1712" w:rsidRPr="003A3663">
        <w:rPr>
          <w:rFonts w:cstheme="minorHAnsi"/>
        </w:rPr>
        <w:t xml:space="preserve">  This funding</w:t>
      </w:r>
      <w:r w:rsidR="00B85A4C" w:rsidRPr="003A3663">
        <w:rPr>
          <w:rFonts w:cstheme="minorHAnsi"/>
        </w:rPr>
        <w:t xml:space="preserve"> would enable areas to </w:t>
      </w:r>
      <w:r w:rsidR="007235CC" w:rsidRPr="003A3663">
        <w:rPr>
          <w:rFonts w:cstheme="minorHAnsi"/>
        </w:rPr>
        <w:t>drive inclusive and sustainable growth</w:t>
      </w:r>
      <w:r w:rsidR="00F15F3B" w:rsidRPr="003A3663">
        <w:rPr>
          <w:rFonts w:cstheme="minorHAnsi"/>
        </w:rPr>
        <w:t xml:space="preserve">, boost productivity, </w:t>
      </w:r>
      <w:r w:rsidR="0086562D" w:rsidRPr="003A3663">
        <w:rPr>
          <w:rFonts w:cstheme="minorHAnsi"/>
        </w:rPr>
        <w:t xml:space="preserve">tackle inequalities </w:t>
      </w:r>
      <w:r w:rsidR="00F15F3B" w:rsidRPr="003A3663">
        <w:rPr>
          <w:rFonts w:cstheme="minorHAnsi"/>
        </w:rPr>
        <w:t xml:space="preserve">and reduce economic disparities </w:t>
      </w:r>
      <w:r w:rsidR="0086562D" w:rsidRPr="003A3663">
        <w:rPr>
          <w:rFonts w:cstheme="minorHAnsi"/>
        </w:rPr>
        <w:t xml:space="preserve">in </w:t>
      </w:r>
      <w:r w:rsidR="00F15F3B" w:rsidRPr="003A3663">
        <w:rPr>
          <w:rFonts w:cstheme="minorHAnsi"/>
        </w:rPr>
        <w:t>their communities.</w:t>
      </w:r>
      <w:r w:rsidR="003B7036" w:rsidRPr="003A3663">
        <w:rPr>
          <w:rFonts w:cstheme="minorHAnsi"/>
        </w:rPr>
        <w:t xml:space="preserve"> </w:t>
      </w:r>
      <w:r w:rsidR="00F15F3B" w:rsidRPr="003A3663">
        <w:rPr>
          <w:rFonts w:cstheme="minorHAnsi"/>
        </w:rPr>
        <w:t xml:space="preserve"> </w:t>
      </w:r>
    </w:p>
    <w:p w14:paraId="3690F744" w14:textId="635A59EA" w:rsidR="00D7688D" w:rsidRPr="003A3663" w:rsidRDefault="00D7688D" w:rsidP="003A3663">
      <w:pPr>
        <w:spacing w:after="0"/>
        <w:rPr>
          <w:rFonts w:cstheme="minorHAnsi"/>
        </w:rPr>
      </w:pPr>
    </w:p>
    <w:p w14:paraId="3BBD2A5D" w14:textId="482C13A0" w:rsidR="003C6919" w:rsidRPr="003A3663" w:rsidRDefault="00D7688D" w:rsidP="003A3663">
      <w:pPr>
        <w:spacing w:after="0"/>
        <w:rPr>
          <w:rFonts w:cstheme="minorHAnsi"/>
          <w:b/>
        </w:rPr>
      </w:pPr>
      <w:r w:rsidRPr="003A3663">
        <w:rPr>
          <w:rFonts w:cstheme="minorHAnsi"/>
          <w:b/>
        </w:rPr>
        <w:t>Should there be a multi-annual financial allocation, and if so why and for how long? (Question 2)</w:t>
      </w:r>
    </w:p>
    <w:p w14:paraId="2990D58A" w14:textId="359FEED1" w:rsidR="003C6919" w:rsidRPr="003A3663" w:rsidRDefault="00471FE3" w:rsidP="003A3663">
      <w:pPr>
        <w:spacing w:after="0"/>
        <w:rPr>
          <w:rFonts w:cstheme="minorHAnsi"/>
        </w:rPr>
      </w:pPr>
      <w:r w:rsidRPr="003A3663">
        <w:rPr>
          <w:rFonts w:cstheme="minorHAnsi"/>
        </w:rPr>
        <w:t>A multi-annual all</w:t>
      </w:r>
      <w:r w:rsidR="002216DA" w:rsidRPr="003A3663">
        <w:rPr>
          <w:rFonts w:cstheme="minorHAnsi"/>
        </w:rPr>
        <w:t xml:space="preserve">ocation of UKSPF </w:t>
      </w:r>
      <w:r w:rsidR="006C35F3" w:rsidRPr="003A3663">
        <w:rPr>
          <w:rFonts w:cstheme="minorHAnsi"/>
        </w:rPr>
        <w:t>is essential</w:t>
      </w:r>
      <w:r w:rsidRPr="003A3663">
        <w:rPr>
          <w:rFonts w:cstheme="minorHAnsi"/>
        </w:rPr>
        <w:t>.</w:t>
      </w:r>
      <w:r w:rsidR="003C6919" w:rsidRPr="003A3663">
        <w:rPr>
          <w:rFonts w:cstheme="minorHAnsi"/>
        </w:rPr>
        <w:t xml:space="preserve"> </w:t>
      </w:r>
      <w:r w:rsidRPr="003A3663">
        <w:rPr>
          <w:rFonts w:cstheme="minorHAnsi"/>
        </w:rPr>
        <w:t xml:space="preserve"> </w:t>
      </w:r>
      <w:r w:rsidR="002216DA" w:rsidRPr="003A3663">
        <w:rPr>
          <w:rFonts w:cstheme="minorHAnsi"/>
        </w:rPr>
        <w:t xml:space="preserve">Multi-annual allocations </w:t>
      </w:r>
      <w:r w:rsidR="006C35F3" w:rsidRPr="003A3663">
        <w:rPr>
          <w:rFonts w:cstheme="minorHAnsi"/>
        </w:rPr>
        <w:t>offer stability</w:t>
      </w:r>
      <w:r w:rsidR="00E62F13" w:rsidRPr="003A3663">
        <w:rPr>
          <w:rFonts w:cstheme="minorHAnsi"/>
        </w:rPr>
        <w:t xml:space="preserve"> and enable projects to </w:t>
      </w:r>
      <w:r w:rsidR="002E41E4">
        <w:rPr>
          <w:rFonts w:cstheme="minorHAnsi"/>
        </w:rPr>
        <w:t xml:space="preserve">be properly planned, delivered </w:t>
      </w:r>
      <w:r w:rsidR="00E62F13" w:rsidRPr="003A3663">
        <w:rPr>
          <w:rFonts w:cstheme="minorHAnsi"/>
        </w:rPr>
        <w:t xml:space="preserve">and evaluated.  The multi-annual allocation of </w:t>
      </w:r>
      <w:r w:rsidR="001C26CD" w:rsidRPr="003A3663">
        <w:rPr>
          <w:rFonts w:cstheme="minorHAnsi"/>
        </w:rPr>
        <w:t>the precursor</w:t>
      </w:r>
      <w:r w:rsidR="002216DA" w:rsidRPr="003A3663">
        <w:rPr>
          <w:rFonts w:cstheme="minorHAnsi"/>
        </w:rPr>
        <w:t xml:space="preserve"> European </w:t>
      </w:r>
      <w:r w:rsidR="00360AD8" w:rsidRPr="003A3663">
        <w:rPr>
          <w:rFonts w:cstheme="minorHAnsi"/>
        </w:rPr>
        <w:t>funding</w:t>
      </w:r>
      <w:r w:rsidR="001C26CD" w:rsidRPr="003A3663">
        <w:rPr>
          <w:rFonts w:cstheme="minorHAnsi"/>
        </w:rPr>
        <w:t xml:space="preserve"> programmes</w:t>
      </w:r>
      <w:r w:rsidR="00E62F13" w:rsidRPr="003A3663">
        <w:rPr>
          <w:rFonts w:cstheme="minorHAnsi"/>
        </w:rPr>
        <w:t xml:space="preserve"> has been</w:t>
      </w:r>
      <w:r w:rsidR="00C457FF" w:rsidRPr="003A3663">
        <w:rPr>
          <w:rFonts w:cstheme="minorHAnsi"/>
        </w:rPr>
        <w:t xml:space="preserve"> a significant benefit to long-term planning.  In comparison</w:t>
      </w:r>
      <w:r w:rsidR="00584F00" w:rsidRPr="003A3663">
        <w:rPr>
          <w:rFonts w:cstheme="minorHAnsi"/>
        </w:rPr>
        <w:t>,</w:t>
      </w:r>
      <w:r w:rsidR="00C457FF" w:rsidRPr="003A3663">
        <w:rPr>
          <w:rFonts w:cstheme="minorHAnsi"/>
        </w:rPr>
        <w:t xml:space="preserve"> the</w:t>
      </w:r>
      <w:r w:rsidR="00360AD8" w:rsidRPr="003A3663">
        <w:rPr>
          <w:rFonts w:cstheme="minorHAnsi"/>
        </w:rPr>
        <w:t xml:space="preserve"> </w:t>
      </w:r>
      <w:r w:rsidR="00C457FF" w:rsidRPr="003A3663">
        <w:rPr>
          <w:rFonts w:cstheme="minorHAnsi"/>
        </w:rPr>
        <w:t>annual allocations associated with LGF have</w:t>
      </w:r>
      <w:r w:rsidR="00360AD8" w:rsidRPr="003A3663">
        <w:rPr>
          <w:rFonts w:cstheme="minorHAnsi"/>
        </w:rPr>
        <w:t xml:space="preserve"> give</w:t>
      </w:r>
      <w:r w:rsidR="00C457FF" w:rsidRPr="003A3663">
        <w:rPr>
          <w:rFonts w:cstheme="minorHAnsi"/>
        </w:rPr>
        <w:t>n</w:t>
      </w:r>
      <w:r w:rsidR="00360AD8" w:rsidRPr="003A3663">
        <w:rPr>
          <w:rFonts w:cstheme="minorHAnsi"/>
        </w:rPr>
        <w:t xml:space="preserve"> rise to uncertainty over funding, </w:t>
      </w:r>
      <w:r w:rsidR="00584F00" w:rsidRPr="003A3663">
        <w:rPr>
          <w:rFonts w:cstheme="minorHAnsi"/>
        </w:rPr>
        <w:t xml:space="preserve">and the emphasis has shifted onto spending the funding allocation within the required time limit rather than focusing on the quality of project delivery.  This has been </w:t>
      </w:r>
      <w:r w:rsidR="00C457FF" w:rsidRPr="003A3663">
        <w:rPr>
          <w:rFonts w:cstheme="minorHAnsi"/>
        </w:rPr>
        <w:t xml:space="preserve">particularly unhelpful for large, complex or pilot projects which require </w:t>
      </w:r>
      <w:r w:rsidR="00584F00" w:rsidRPr="003A3663">
        <w:rPr>
          <w:rFonts w:cstheme="minorHAnsi"/>
        </w:rPr>
        <w:t xml:space="preserve">more meticulous planning and </w:t>
      </w:r>
      <w:r w:rsidR="00C457FF" w:rsidRPr="003A3663">
        <w:rPr>
          <w:rFonts w:cstheme="minorHAnsi"/>
        </w:rPr>
        <w:t>a longer-term approach</w:t>
      </w:r>
      <w:r w:rsidR="00A533B5" w:rsidRPr="003A3663">
        <w:rPr>
          <w:rFonts w:cstheme="minorHAnsi"/>
        </w:rPr>
        <w:t xml:space="preserve"> to funding</w:t>
      </w:r>
      <w:r w:rsidR="00C457FF" w:rsidRPr="003A3663">
        <w:rPr>
          <w:rFonts w:cstheme="minorHAnsi"/>
        </w:rPr>
        <w:t xml:space="preserve">.  </w:t>
      </w:r>
      <w:r w:rsidR="00A533B5" w:rsidRPr="003A3663">
        <w:rPr>
          <w:rFonts w:cstheme="minorHAnsi"/>
        </w:rPr>
        <w:t>Another advantage of multi-annual allocations is the possibility of leveraging or borrowing against the funds as part of a</w:t>
      </w:r>
      <w:r w:rsidR="00131247" w:rsidRPr="003A3663">
        <w:rPr>
          <w:rFonts w:cstheme="minorHAnsi"/>
        </w:rPr>
        <w:t xml:space="preserve"> long-term and </w:t>
      </w:r>
      <w:r w:rsidR="00A533B5" w:rsidRPr="003A3663">
        <w:rPr>
          <w:rFonts w:cstheme="minorHAnsi"/>
        </w:rPr>
        <w:t xml:space="preserve">rolling investment programme.  </w:t>
      </w:r>
      <w:r w:rsidR="0091422F" w:rsidRPr="003A3663">
        <w:rPr>
          <w:rFonts w:cstheme="minorHAnsi"/>
        </w:rPr>
        <w:t>The Sheffield City Region recommends a</w:t>
      </w:r>
      <w:r w:rsidR="00584F00" w:rsidRPr="003A3663">
        <w:rPr>
          <w:rFonts w:cstheme="minorHAnsi"/>
        </w:rPr>
        <w:t xml:space="preserve"> UKSPF</w:t>
      </w:r>
      <w:r w:rsidR="0091422F" w:rsidRPr="003A3663">
        <w:rPr>
          <w:rFonts w:cstheme="minorHAnsi"/>
        </w:rPr>
        <w:t xml:space="preserve"> multi-annual allocation of </w:t>
      </w:r>
      <w:r w:rsidR="003E3D04" w:rsidRPr="003A3663">
        <w:rPr>
          <w:rFonts w:cstheme="minorHAnsi"/>
        </w:rPr>
        <w:t xml:space="preserve">at least </w:t>
      </w:r>
      <w:r w:rsidR="0091422F" w:rsidRPr="003A3663">
        <w:rPr>
          <w:rFonts w:cstheme="minorHAnsi"/>
        </w:rPr>
        <w:t>five years</w:t>
      </w:r>
      <w:r w:rsidR="00131247" w:rsidRPr="003A3663">
        <w:rPr>
          <w:rFonts w:cstheme="minorHAnsi"/>
        </w:rPr>
        <w:t>, with</w:t>
      </w:r>
      <w:r w:rsidR="00AE146D" w:rsidRPr="003A3663">
        <w:rPr>
          <w:rFonts w:cstheme="minorHAnsi"/>
        </w:rPr>
        <w:t xml:space="preserve"> the</w:t>
      </w:r>
      <w:r w:rsidR="007D1712" w:rsidRPr="003A3663">
        <w:rPr>
          <w:rFonts w:cstheme="minorHAnsi"/>
        </w:rPr>
        <w:t xml:space="preserve"> flexibility </w:t>
      </w:r>
      <w:r w:rsidR="00AE146D" w:rsidRPr="003A3663">
        <w:rPr>
          <w:rFonts w:cstheme="minorHAnsi"/>
        </w:rPr>
        <w:t>to carry</w:t>
      </w:r>
      <w:r w:rsidR="00131247" w:rsidRPr="003A3663">
        <w:rPr>
          <w:rFonts w:cstheme="minorHAnsi"/>
        </w:rPr>
        <w:t xml:space="preserve"> forward </w:t>
      </w:r>
      <w:r w:rsidR="007D1712" w:rsidRPr="003A3663">
        <w:rPr>
          <w:rFonts w:cstheme="minorHAnsi"/>
        </w:rPr>
        <w:t xml:space="preserve">spend and </w:t>
      </w:r>
      <w:r w:rsidR="00131247" w:rsidRPr="003A3663">
        <w:rPr>
          <w:rFonts w:cstheme="minorHAnsi"/>
        </w:rPr>
        <w:t xml:space="preserve">losing the </w:t>
      </w:r>
      <w:r w:rsidR="00AE146D" w:rsidRPr="003A3663">
        <w:rPr>
          <w:rFonts w:cstheme="minorHAnsi"/>
        </w:rPr>
        <w:t>‘</w:t>
      </w:r>
      <w:r w:rsidR="00131247" w:rsidRPr="003A3663">
        <w:rPr>
          <w:rFonts w:cstheme="minorHAnsi"/>
        </w:rPr>
        <w:t>in-year spend it or lose it</w:t>
      </w:r>
      <w:r w:rsidR="00AE146D" w:rsidRPr="003A3663">
        <w:rPr>
          <w:rFonts w:cstheme="minorHAnsi"/>
        </w:rPr>
        <w:t>’</w:t>
      </w:r>
      <w:r w:rsidR="00131247" w:rsidRPr="003A3663">
        <w:rPr>
          <w:rFonts w:cstheme="minorHAnsi"/>
        </w:rPr>
        <w:t xml:space="preserve"> mentality</w:t>
      </w:r>
      <w:r w:rsidR="00AE146D" w:rsidRPr="003A3663">
        <w:rPr>
          <w:rFonts w:cstheme="minorHAnsi"/>
        </w:rPr>
        <w:t xml:space="preserve"> of LGF</w:t>
      </w:r>
      <w:r w:rsidR="003E3D04" w:rsidRPr="003A3663">
        <w:rPr>
          <w:rFonts w:cstheme="minorHAnsi"/>
        </w:rPr>
        <w:t>.</w:t>
      </w:r>
    </w:p>
    <w:p w14:paraId="3C447EA1" w14:textId="77777777" w:rsidR="004D5480" w:rsidRPr="003A3663" w:rsidRDefault="004D5480" w:rsidP="003A3663">
      <w:pPr>
        <w:spacing w:after="0"/>
        <w:rPr>
          <w:rFonts w:cstheme="minorHAnsi"/>
        </w:rPr>
      </w:pPr>
    </w:p>
    <w:p w14:paraId="675B4041" w14:textId="0D5BD2DA" w:rsidR="00565D26" w:rsidRPr="003A3663" w:rsidRDefault="00565D26" w:rsidP="003A3663">
      <w:pPr>
        <w:spacing w:after="0"/>
        <w:rPr>
          <w:rFonts w:cstheme="minorHAnsi"/>
          <w:b/>
        </w:rPr>
      </w:pPr>
      <w:r w:rsidRPr="003A3663">
        <w:rPr>
          <w:rFonts w:cstheme="minorHAnsi"/>
          <w:b/>
        </w:rPr>
        <w:t>Would it be appropriate to roll in other budget lines (</w:t>
      </w:r>
      <w:r w:rsidR="00744615" w:rsidRPr="00744615">
        <w:rPr>
          <w:rFonts w:cstheme="minorHAnsi"/>
          <w:b/>
        </w:rPr>
        <w:t>e.g.</w:t>
      </w:r>
      <w:r w:rsidRPr="003A3663">
        <w:rPr>
          <w:rFonts w:cstheme="minorHAnsi"/>
          <w:b/>
        </w:rPr>
        <w:t xml:space="preserve"> the Local Growth Fund in England) into the UK Shared Prosperity Fund? (Question 3)</w:t>
      </w:r>
    </w:p>
    <w:p w14:paraId="5EB0A2BB" w14:textId="17400947" w:rsidR="00D907E7" w:rsidRPr="003A3663" w:rsidRDefault="00740122" w:rsidP="003A3663">
      <w:pPr>
        <w:spacing w:after="0"/>
        <w:rPr>
          <w:rFonts w:cstheme="minorHAnsi"/>
        </w:rPr>
      </w:pPr>
      <w:r w:rsidRPr="003A3663">
        <w:rPr>
          <w:rFonts w:cstheme="minorHAnsi"/>
        </w:rPr>
        <w:t xml:space="preserve">The plethora of different funding programmes, including ESIF, other European funding streams like Horizon </w:t>
      </w:r>
      <w:r w:rsidR="008F19A2" w:rsidRPr="003A3663">
        <w:rPr>
          <w:rFonts w:cstheme="minorHAnsi"/>
        </w:rPr>
        <w:t>and LGF have often had different eligibility criteria and</w:t>
      </w:r>
      <w:r w:rsidR="003B0A40" w:rsidRPr="003A3663">
        <w:rPr>
          <w:rFonts w:cstheme="minorHAnsi"/>
        </w:rPr>
        <w:t xml:space="preserve"> timeframes</w:t>
      </w:r>
      <w:r w:rsidR="003A0E24" w:rsidRPr="003A3663">
        <w:rPr>
          <w:rFonts w:cstheme="minorHAnsi"/>
        </w:rPr>
        <w:t>, and strict rules on the virement of funds between the funding themes</w:t>
      </w:r>
      <w:r w:rsidR="003B0A40" w:rsidRPr="003A3663">
        <w:rPr>
          <w:rFonts w:cstheme="minorHAnsi"/>
        </w:rPr>
        <w:t xml:space="preserve">.  This has </w:t>
      </w:r>
      <w:r w:rsidR="003A0E24" w:rsidRPr="003A3663">
        <w:rPr>
          <w:rFonts w:cstheme="minorHAnsi"/>
        </w:rPr>
        <w:t xml:space="preserve">required more resource to manage and monitor funding and has made it difficult to co-ordinate funding on larger projects.  </w:t>
      </w:r>
      <w:r w:rsidR="00DB577E" w:rsidRPr="003A3663">
        <w:rPr>
          <w:rFonts w:cstheme="minorHAnsi"/>
        </w:rPr>
        <w:t xml:space="preserve">A ‘single pot’ approach to funding allocations would </w:t>
      </w:r>
      <w:r w:rsidRPr="003A3663">
        <w:rPr>
          <w:rFonts w:cstheme="minorHAnsi"/>
        </w:rPr>
        <w:t xml:space="preserve">provide areas with a simplified and integrated fund which </w:t>
      </w:r>
      <w:r w:rsidR="00840311" w:rsidRPr="003A3663">
        <w:rPr>
          <w:rFonts w:cstheme="minorHAnsi"/>
        </w:rPr>
        <w:t>would be easier and less resource intensive to manage.  It would also provide areas with greater flexibility and allow them to better target and maximise the</w:t>
      </w:r>
      <w:r w:rsidR="00D907E7" w:rsidRPr="003A3663">
        <w:rPr>
          <w:rFonts w:cstheme="minorHAnsi"/>
        </w:rPr>
        <w:t>ir</w:t>
      </w:r>
      <w:r w:rsidR="00840311" w:rsidRPr="003A3663">
        <w:rPr>
          <w:rFonts w:cstheme="minorHAnsi"/>
        </w:rPr>
        <w:t xml:space="preserve"> funding</w:t>
      </w:r>
      <w:r w:rsidR="00D907E7" w:rsidRPr="003A3663">
        <w:rPr>
          <w:rFonts w:cstheme="minorHAnsi"/>
        </w:rPr>
        <w:t>, particularly when responding to local</w:t>
      </w:r>
      <w:r w:rsidR="00840311" w:rsidRPr="003A3663">
        <w:rPr>
          <w:rFonts w:cstheme="minorHAnsi"/>
        </w:rPr>
        <w:t xml:space="preserve"> </w:t>
      </w:r>
      <w:r w:rsidR="00D907E7" w:rsidRPr="003A3663">
        <w:rPr>
          <w:rFonts w:cstheme="minorHAnsi"/>
        </w:rPr>
        <w:t>needs and dealing with economic shocks</w:t>
      </w:r>
      <w:r w:rsidR="00945788" w:rsidRPr="003A3663">
        <w:rPr>
          <w:rFonts w:cstheme="minorHAnsi"/>
        </w:rPr>
        <w:t>.</w:t>
      </w:r>
      <w:r w:rsidR="003C1110" w:rsidRPr="003A3663">
        <w:rPr>
          <w:rFonts w:cstheme="minorHAnsi"/>
        </w:rPr>
        <w:t xml:space="preserve">  </w:t>
      </w:r>
    </w:p>
    <w:p w14:paraId="0EB0A184" w14:textId="77777777" w:rsidR="00442921" w:rsidRPr="003A3663" w:rsidRDefault="00442921" w:rsidP="003E3D04">
      <w:pPr>
        <w:rPr>
          <w:rFonts w:cstheme="minorHAnsi"/>
        </w:rPr>
      </w:pPr>
    </w:p>
    <w:p w14:paraId="1B8D92CC" w14:textId="77777777" w:rsidR="009A5652" w:rsidRDefault="009A5652" w:rsidP="003A3663">
      <w:pPr>
        <w:spacing w:before="120" w:after="120"/>
        <w:rPr>
          <w:rFonts w:ascii="Sheffield Headline" w:hAnsi="Sheffield Headline" w:cstheme="minorHAnsi"/>
          <w:color w:val="799C4B" w:themeColor="text2"/>
          <w:sz w:val="24"/>
          <w:szCs w:val="24"/>
        </w:rPr>
      </w:pPr>
    </w:p>
    <w:p w14:paraId="7E32BAD2" w14:textId="77777777" w:rsidR="009A5652" w:rsidRDefault="009A5652" w:rsidP="003A3663">
      <w:pPr>
        <w:spacing w:before="120" w:after="120"/>
        <w:rPr>
          <w:rFonts w:ascii="Sheffield Headline" w:hAnsi="Sheffield Headline" w:cstheme="minorHAnsi"/>
          <w:color w:val="799C4B" w:themeColor="text2"/>
          <w:sz w:val="24"/>
          <w:szCs w:val="24"/>
        </w:rPr>
      </w:pPr>
    </w:p>
    <w:p w14:paraId="621B02A8" w14:textId="77777777" w:rsidR="009A5652" w:rsidRDefault="009A5652" w:rsidP="003A3663">
      <w:pPr>
        <w:spacing w:before="120" w:after="120"/>
        <w:rPr>
          <w:rFonts w:ascii="Sheffield Headline" w:hAnsi="Sheffield Headline" w:cstheme="minorHAnsi"/>
          <w:color w:val="799C4B" w:themeColor="text2"/>
          <w:sz w:val="24"/>
          <w:szCs w:val="24"/>
        </w:rPr>
      </w:pPr>
    </w:p>
    <w:p w14:paraId="7A6F38D9" w14:textId="7B3602EC" w:rsidR="00C022CB" w:rsidRPr="00425ED5" w:rsidRDefault="00C022CB" w:rsidP="003A3663">
      <w:pPr>
        <w:spacing w:before="120" w:after="120"/>
        <w:rPr>
          <w:rFonts w:ascii="Sheffield Headline" w:hAnsi="Sheffield Headline" w:cstheme="minorHAnsi"/>
          <w:color w:val="799C4B" w:themeColor="text2"/>
          <w:sz w:val="24"/>
          <w:szCs w:val="24"/>
        </w:rPr>
      </w:pPr>
      <w:r w:rsidRPr="00425ED5">
        <w:rPr>
          <w:rFonts w:ascii="Sheffield Headline" w:hAnsi="Sheffield Headline" w:cstheme="minorHAnsi"/>
          <w:color w:val="799C4B" w:themeColor="text2"/>
          <w:sz w:val="24"/>
          <w:szCs w:val="24"/>
        </w:rPr>
        <w:lastRenderedPageBreak/>
        <w:t xml:space="preserve">Allocation Across the Country </w:t>
      </w:r>
    </w:p>
    <w:p w14:paraId="7255A495" w14:textId="77777777" w:rsidR="00A01281" w:rsidRPr="003A3663" w:rsidRDefault="00A01281" w:rsidP="003A3663">
      <w:pPr>
        <w:spacing w:after="0"/>
        <w:rPr>
          <w:rFonts w:cstheme="minorHAnsi"/>
          <w:b/>
        </w:rPr>
      </w:pPr>
      <w:r w:rsidRPr="003A3663">
        <w:rPr>
          <w:rFonts w:cstheme="minorHAnsi"/>
          <w:b/>
        </w:rPr>
        <w:t>In England, should the funding to local areas be allocated by an appropriate formula, and if so what are the best statistical measures? (Question 7)</w:t>
      </w:r>
    </w:p>
    <w:p w14:paraId="5A97DB5E" w14:textId="14839B66" w:rsidR="00A01281" w:rsidRPr="003A3663" w:rsidRDefault="00A01281" w:rsidP="003A3663">
      <w:pPr>
        <w:spacing w:after="0"/>
      </w:pPr>
      <w:r w:rsidRPr="003A3663">
        <w:t xml:space="preserve">The Sheffield City Region agrees that the allocation of UKSPF should be based on a formula, to ensure that those areas with the greatest need receive </w:t>
      </w:r>
      <w:r w:rsidR="00170E6C">
        <w:t>disproportionately</w:t>
      </w:r>
      <w:r w:rsidRPr="003A3663">
        <w:t xml:space="preserve"> more funding.  </w:t>
      </w:r>
      <w:r w:rsidRPr="003A3663">
        <w:rPr>
          <w:rFonts w:cstheme="minorHAnsi"/>
        </w:rPr>
        <w:t xml:space="preserve">The UKSPF should be devolved as much as possible where local institutions, particularly Mayoral Combined Authorities (MCAs), are already in place.  Like the Transforming Cities Fund, there should be a top-slicing for MCAs with an elected Mayor.  </w:t>
      </w:r>
      <w:r w:rsidRPr="003A3663">
        <w:t>The precursor European Structural Fund programmes were allocated to deliver convergence between lagging regions and more prosperous areas, and the UKSPF should replicate it.</w:t>
      </w:r>
    </w:p>
    <w:p w14:paraId="44CDD62B" w14:textId="77777777" w:rsidR="004D5480" w:rsidRPr="003A3663" w:rsidRDefault="004D5480" w:rsidP="003A3663">
      <w:pPr>
        <w:spacing w:after="0"/>
      </w:pPr>
    </w:p>
    <w:p w14:paraId="4999CFCB" w14:textId="52E23E62" w:rsidR="00332A59" w:rsidRDefault="00A01281" w:rsidP="003A3663">
      <w:pPr>
        <w:spacing w:after="0"/>
      </w:pPr>
      <w:r w:rsidRPr="003A3663">
        <w:t>However, we would propose that the formula used is different to the one used for the 2014-20 programme</w:t>
      </w:r>
      <w:r w:rsidR="00426496">
        <w:t>,</w:t>
      </w:r>
      <w:r w:rsidRPr="003A3663">
        <w:t xml:space="preserve"> which was challenged through a Judicial Review.</w:t>
      </w:r>
      <w:r w:rsidRPr="00744615">
        <w:t xml:space="preserve">  </w:t>
      </w:r>
      <w:r w:rsidR="00B27C2B" w:rsidRPr="00B27C2B">
        <w:t>The current methodology should not be rolled forward as it</w:t>
      </w:r>
      <w:r w:rsidR="00332A59">
        <w:t xml:space="preserve"> i</w:t>
      </w:r>
      <w:r w:rsidR="00B27C2B" w:rsidRPr="00B27C2B">
        <w:t xml:space="preserve">s as we do not see how this would allow the UKSPF to truly reflect the aims of sharing prosperity fairly across the UK. Rather allocations of the UKSPF should be used as an opportunity to develop a methodology which is based on the needs and opportunities of the UK, not just a rolling forward of an EU based allocation methodology. </w:t>
      </w:r>
      <w:r w:rsidR="00332A59">
        <w:t xml:space="preserve"> </w:t>
      </w:r>
      <w:r w:rsidR="00332A59" w:rsidRPr="00332A59">
        <w:t>This wo</w:t>
      </w:r>
      <w:r w:rsidR="00332A59">
        <w:t>u</w:t>
      </w:r>
      <w:r w:rsidR="00332A59" w:rsidRPr="00332A59">
        <w:t xml:space="preserve">ld allow the UKSPF to truly reflect current needs and opportunities </w:t>
      </w:r>
      <w:r w:rsidR="00170E6C">
        <w:t xml:space="preserve">of urban and rural areas </w:t>
      </w:r>
      <w:r w:rsidR="00332A59" w:rsidRPr="00332A59">
        <w:t>within and across the UK</w:t>
      </w:r>
      <w:r w:rsidR="00332A59">
        <w:t xml:space="preserve">.  </w:t>
      </w:r>
    </w:p>
    <w:p w14:paraId="2E53E84E" w14:textId="77777777" w:rsidR="00332A59" w:rsidRDefault="00332A59" w:rsidP="003A3663">
      <w:pPr>
        <w:spacing w:after="0"/>
      </w:pPr>
    </w:p>
    <w:p w14:paraId="0EC78D14" w14:textId="5FFC65EA" w:rsidR="00A01281" w:rsidRPr="003A3663" w:rsidRDefault="00A01281" w:rsidP="003A3663">
      <w:pPr>
        <w:spacing w:after="0"/>
      </w:pPr>
      <w:r w:rsidRPr="003A3663">
        <w:t>The 2014-20</w:t>
      </w:r>
      <w:r w:rsidRPr="003A3663">
        <w:rPr>
          <w:rStyle w:val="FootnoteReference"/>
        </w:rPr>
        <w:footnoteReference w:id="1"/>
      </w:r>
      <w:r w:rsidRPr="003A3663">
        <w:t xml:space="preserve"> allocations to the Sheffield and Liverpool City Regions represented a significant decrease compared to the 2007-13 programme, despite South Yorkshire and Merseyside being transition regions.  The formula used for the allocation meant that Sheffield City Region received European funding of </w:t>
      </w:r>
      <w:r w:rsidR="002E41E4" w:rsidRPr="00635D25">
        <w:rPr>
          <w:sz w:val="24"/>
          <w:szCs w:val="24"/>
        </w:rPr>
        <w:t>€</w:t>
      </w:r>
      <w:r w:rsidR="00110240">
        <w:t>111 per head (</w:t>
      </w:r>
      <w:r w:rsidR="00676297">
        <w:t xml:space="preserve">only </w:t>
      </w:r>
      <w:r w:rsidRPr="003A3663">
        <w:t xml:space="preserve">marginally above the England average of </w:t>
      </w:r>
      <w:r w:rsidR="002E41E4" w:rsidRPr="00635D25">
        <w:rPr>
          <w:sz w:val="24"/>
          <w:szCs w:val="24"/>
        </w:rPr>
        <w:t>€</w:t>
      </w:r>
      <w:r w:rsidRPr="003A3663">
        <w:t>107 per head</w:t>
      </w:r>
      <w:r w:rsidR="00676297">
        <w:t>)</w:t>
      </w:r>
      <w:r w:rsidRPr="003A3663">
        <w:t xml:space="preserve">, whilst the North </w:t>
      </w:r>
      <w:r w:rsidRPr="00332A59">
        <w:t>East</w:t>
      </w:r>
      <w:r w:rsidR="00332A59" w:rsidRPr="00332A59">
        <w:t xml:space="preserve"> (€273)</w:t>
      </w:r>
      <w:r w:rsidR="00332A59">
        <w:rPr>
          <w:sz w:val="24"/>
          <w:szCs w:val="24"/>
        </w:rPr>
        <w:t xml:space="preserve"> </w:t>
      </w:r>
      <w:r w:rsidRPr="003A3663">
        <w:t>and Tees Valley</w:t>
      </w:r>
      <w:r w:rsidR="00332A59">
        <w:t xml:space="preserve"> (</w:t>
      </w:r>
      <w:r w:rsidR="00332A59" w:rsidRPr="00635D25">
        <w:rPr>
          <w:sz w:val="24"/>
          <w:szCs w:val="24"/>
        </w:rPr>
        <w:t>€</w:t>
      </w:r>
      <w:r w:rsidR="00332A59">
        <w:t>300)</w:t>
      </w:r>
      <w:r w:rsidRPr="003A3663">
        <w:t xml:space="preserve"> City Regions rece</w:t>
      </w:r>
      <w:r w:rsidR="00332A59">
        <w:t>ived nearly treble that amount</w:t>
      </w:r>
      <w:r w:rsidRPr="003A3663">
        <w:t>.</w:t>
      </w:r>
    </w:p>
    <w:p w14:paraId="73BB7299" w14:textId="77777777" w:rsidR="004D5480" w:rsidRPr="003A3663" w:rsidRDefault="004D5480" w:rsidP="003A3663">
      <w:pPr>
        <w:spacing w:after="0"/>
      </w:pPr>
    </w:p>
    <w:p w14:paraId="187BE945" w14:textId="7F17A8FA" w:rsidR="00A01281" w:rsidRPr="003A3663" w:rsidRDefault="00A01281" w:rsidP="003A3663">
      <w:pPr>
        <w:spacing w:after="0"/>
      </w:pPr>
      <w:r w:rsidRPr="003A3663">
        <w:t>The UKSPF must be</w:t>
      </w:r>
      <w:r w:rsidR="00170E6C">
        <w:t xml:space="preserve"> disproportionately</w:t>
      </w:r>
      <w:r w:rsidRPr="003A3663">
        <w:t xml:space="preserve"> targeted at places of need, which aligns with the Government’s objective of the UKSPF to reduce inequalities.  The Sheffield City Region believes that allocating the UKSPF on a per capita basis would be detrimental to the most deprived geographical areas in the country.  If the ethos behind UKSPF is to redress imbalances in economic performance</w:t>
      </w:r>
      <w:r w:rsidR="00744615">
        <w:t>,</w:t>
      </w:r>
      <w:r w:rsidRPr="003A3663">
        <w:t xml:space="preserve"> and to spread wealth to areas of disadvantage, the funding formula must be calculated on the basis of need rather than size of population.  </w:t>
      </w:r>
    </w:p>
    <w:p w14:paraId="76FD86FC" w14:textId="77777777" w:rsidR="004D5480" w:rsidRPr="003A3663" w:rsidRDefault="004D5480" w:rsidP="003A3663">
      <w:pPr>
        <w:spacing w:after="0"/>
      </w:pPr>
    </w:p>
    <w:p w14:paraId="6988EF9E" w14:textId="786F897B" w:rsidR="00A01281" w:rsidRPr="003A3663" w:rsidRDefault="00A01281" w:rsidP="003A3663">
      <w:pPr>
        <w:spacing w:after="0"/>
        <w:rPr>
          <w:rFonts w:cstheme="minorHAnsi"/>
        </w:rPr>
      </w:pPr>
      <w:r w:rsidRPr="003A3663">
        <w:rPr>
          <w:rFonts w:cstheme="minorHAnsi"/>
        </w:rPr>
        <w:t xml:space="preserve">Creating a needs-led allocation formula would also tie into the Government’s objective of delivering economic growth across the country outlined in its Industrial Strategy White Paper, specifically on the development of the Local Industrial Strategies.  </w:t>
      </w:r>
      <w:r w:rsidR="002E41E4" w:rsidRPr="003A3663">
        <w:rPr>
          <w:rFonts w:cstheme="minorHAnsi"/>
        </w:rPr>
        <w:t>Gross Value Added (GVA)</w:t>
      </w:r>
      <w:r w:rsidRPr="003A3663">
        <w:rPr>
          <w:rFonts w:cstheme="minorHAnsi"/>
        </w:rPr>
        <w:t>, productivity and house prices are three options that could be considered for the UKSPF funding formula (se</w:t>
      </w:r>
      <w:r w:rsidR="007A6B35" w:rsidRPr="003A3663">
        <w:rPr>
          <w:rFonts w:cstheme="minorHAnsi"/>
        </w:rPr>
        <w:t>e A</w:t>
      </w:r>
      <w:r w:rsidRPr="003A3663">
        <w:rPr>
          <w:rFonts w:cstheme="minorHAnsi"/>
        </w:rPr>
        <w:t xml:space="preserve">nnex).  For example, areas with the lowest </w:t>
      </w:r>
      <w:r w:rsidR="002E41E4">
        <w:rPr>
          <w:rFonts w:cstheme="minorHAnsi"/>
        </w:rPr>
        <w:t>GVA</w:t>
      </w:r>
      <w:r w:rsidRPr="003A3663">
        <w:rPr>
          <w:rFonts w:cstheme="minorHAnsi"/>
        </w:rPr>
        <w:t xml:space="preserve"> rate could receive a greater proportion of the UKSPF budget, with those areas with highest levels of GVA receiving proportionately less funding.  This would target investment at the more deprived areas of England, particularly in the North and Midlands, helping to rebalance the UK economy.  The table </w:t>
      </w:r>
      <w:r w:rsidR="00676297">
        <w:rPr>
          <w:rFonts w:cstheme="minorHAnsi"/>
        </w:rPr>
        <w:t>on the next page</w:t>
      </w:r>
      <w:r w:rsidRPr="003A3663">
        <w:rPr>
          <w:rFonts w:cstheme="minorHAnsi"/>
        </w:rPr>
        <w:t xml:space="preserve"> list the LEPs in England with the lowest and highest GVA rates:   </w:t>
      </w:r>
    </w:p>
    <w:p w14:paraId="278FA4EB" w14:textId="6BBF864E" w:rsidR="004D5480" w:rsidRDefault="004D5480" w:rsidP="003A3663">
      <w:pPr>
        <w:spacing w:after="0"/>
        <w:rPr>
          <w:rFonts w:cstheme="minorHAnsi"/>
        </w:rPr>
      </w:pPr>
    </w:p>
    <w:p w14:paraId="2D905D91" w14:textId="166247A3" w:rsidR="00332A59" w:rsidRDefault="00332A59" w:rsidP="003A3663">
      <w:pPr>
        <w:spacing w:after="0"/>
        <w:rPr>
          <w:rFonts w:cstheme="minorHAnsi"/>
        </w:rPr>
      </w:pPr>
    </w:p>
    <w:p w14:paraId="53630863" w14:textId="77777777" w:rsidR="00332A59" w:rsidRPr="003A3663" w:rsidRDefault="00332A59" w:rsidP="003A3663">
      <w:pPr>
        <w:spacing w:after="0"/>
        <w:rPr>
          <w:rFonts w:cstheme="minorHAnsi"/>
        </w:rPr>
      </w:pPr>
    </w:p>
    <w:p w14:paraId="455D73B7" w14:textId="77777777" w:rsidR="00A01281" w:rsidRPr="003A3663" w:rsidRDefault="00A01281" w:rsidP="00A01281">
      <w:pPr>
        <w:rPr>
          <w:rFonts w:cstheme="minorHAnsi"/>
          <w:color w:val="707271" w:themeColor="accent1"/>
        </w:rPr>
      </w:pPr>
      <w:r w:rsidRPr="003A3663">
        <w:rPr>
          <w:rFonts w:cstheme="minorHAnsi"/>
          <w:color w:val="707271" w:themeColor="accent1"/>
        </w:rPr>
        <w:lastRenderedPageBreak/>
        <w:t>Table 1: LEP Areas with the Lowest and Highest GVA (2016)</w:t>
      </w:r>
    </w:p>
    <w:tbl>
      <w:tblPr>
        <w:tblStyle w:val="TableGrid"/>
        <w:tblW w:w="10201" w:type="dxa"/>
        <w:tblBorders>
          <w:top w:val="single" w:sz="4" w:space="0" w:color="799C4B" w:themeColor="text2"/>
          <w:left w:val="single" w:sz="4" w:space="0" w:color="799C4B" w:themeColor="text2"/>
          <w:bottom w:val="single" w:sz="4" w:space="0" w:color="799C4B" w:themeColor="text2"/>
          <w:right w:val="single" w:sz="4" w:space="0" w:color="799C4B" w:themeColor="text2"/>
          <w:insideH w:val="single" w:sz="4" w:space="0" w:color="799C4B" w:themeColor="text2"/>
          <w:insideV w:val="single" w:sz="4" w:space="0" w:color="799C4B" w:themeColor="text2"/>
        </w:tblBorders>
        <w:tblLayout w:type="fixed"/>
        <w:tblLook w:val="04A0" w:firstRow="1" w:lastRow="0" w:firstColumn="1" w:lastColumn="0" w:noHBand="0" w:noVBand="1"/>
      </w:tblPr>
      <w:tblGrid>
        <w:gridCol w:w="4390"/>
        <w:gridCol w:w="708"/>
        <w:gridCol w:w="284"/>
        <w:gridCol w:w="3969"/>
        <w:gridCol w:w="850"/>
      </w:tblGrid>
      <w:tr w:rsidR="00A01281" w14:paraId="40829CB8" w14:textId="77777777" w:rsidTr="004D031D">
        <w:tc>
          <w:tcPr>
            <w:tcW w:w="4390" w:type="dxa"/>
            <w:shd w:val="clear" w:color="auto" w:fill="799C4B" w:themeFill="text2"/>
          </w:tcPr>
          <w:p w14:paraId="2D2CFBDD" w14:textId="77777777" w:rsidR="00A01281" w:rsidRPr="009651FF" w:rsidRDefault="00A01281" w:rsidP="004D031D">
            <w:pPr>
              <w:spacing w:before="40" w:after="40"/>
              <w:rPr>
                <w:rFonts w:cstheme="minorHAnsi"/>
                <w:b/>
                <w:color w:val="FFFFFF" w:themeColor="background1"/>
                <w:sz w:val="24"/>
                <w:szCs w:val="24"/>
              </w:rPr>
            </w:pPr>
            <w:r>
              <w:rPr>
                <w:rFonts w:cstheme="minorHAnsi"/>
                <w:b/>
                <w:color w:val="FFFFFF" w:themeColor="background1"/>
                <w:sz w:val="24"/>
                <w:szCs w:val="24"/>
              </w:rPr>
              <w:t>LEP Area</w:t>
            </w:r>
          </w:p>
        </w:tc>
        <w:tc>
          <w:tcPr>
            <w:tcW w:w="708" w:type="dxa"/>
            <w:shd w:val="clear" w:color="auto" w:fill="799C4B" w:themeFill="text2"/>
          </w:tcPr>
          <w:p w14:paraId="31C71298" w14:textId="77777777" w:rsidR="00A01281" w:rsidRPr="009651FF" w:rsidRDefault="00A01281" w:rsidP="004D031D">
            <w:pPr>
              <w:spacing w:before="40" w:after="40"/>
              <w:rPr>
                <w:rFonts w:cstheme="minorHAnsi"/>
                <w:b/>
                <w:color w:val="FFFFFF" w:themeColor="background1"/>
                <w:sz w:val="24"/>
                <w:szCs w:val="24"/>
              </w:rPr>
            </w:pPr>
            <w:r w:rsidRPr="009651FF">
              <w:rPr>
                <w:rFonts w:cstheme="minorHAnsi"/>
                <w:b/>
                <w:color w:val="FFFFFF" w:themeColor="background1"/>
                <w:sz w:val="24"/>
                <w:szCs w:val="24"/>
              </w:rPr>
              <w:t>GVA</w:t>
            </w:r>
          </w:p>
        </w:tc>
        <w:tc>
          <w:tcPr>
            <w:tcW w:w="284" w:type="dxa"/>
            <w:vMerge w:val="restart"/>
            <w:shd w:val="clear" w:color="auto" w:fill="799C4B" w:themeFill="text2"/>
          </w:tcPr>
          <w:p w14:paraId="3D212BBC" w14:textId="77777777" w:rsidR="00A01281" w:rsidRPr="009651FF" w:rsidRDefault="00A01281" w:rsidP="004D031D">
            <w:pPr>
              <w:spacing w:before="40" w:after="40"/>
              <w:rPr>
                <w:rFonts w:cstheme="minorHAnsi"/>
                <w:b/>
                <w:color w:val="FFFFFF" w:themeColor="background1"/>
                <w:sz w:val="24"/>
                <w:szCs w:val="24"/>
              </w:rPr>
            </w:pPr>
          </w:p>
        </w:tc>
        <w:tc>
          <w:tcPr>
            <w:tcW w:w="3969" w:type="dxa"/>
            <w:shd w:val="clear" w:color="auto" w:fill="799C4B" w:themeFill="text2"/>
          </w:tcPr>
          <w:p w14:paraId="3C978EF5" w14:textId="77777777" w:rsidR="00A01281" w:rsidRPr="009651FF" w:rsidRDefault="00A01281" w:rsidP="004D031D">
            <w:pPr>
              <w:spacing w:before="40" w:after="40"/>
              <w:rPr>
                <w:rFonts w:cstheme="minorHAnsi"/>
                <w:b/>
                <w:color w:val="FFFFFF" w:themeColor="background1"/>
                <w:sz w:val="24"/>
                <w:szCs w:val="24"/>
              </w:rPr>
            </w:pPr>
            <w:r>
              <w:rPr>
                <w:rFonts w:cstheme="minorHAnsi"/>
                <w:b/>
                <w:color w:val="FFFFFF" w:themeColor="background1"/>
                <w:sz w:val="24"/>
                <w:szCs w:val="24"/>
              </w:rPr>
              <w:t>LEP Area</w:t>
            </w:r>
          </w:p>
        </w:tc>
        <w:tc>
          <w:tcPr>
            <w:tcW w:w="850" w:type="dxa"/>
            <w:shd w:val="clear" w:color="auto" w:fill="799C4B" w:themeFill="text2"/>
          </w:tcPr>
          <w:p w14:paraId="1D5427AB" w14:textId="77777777" w:rsidR="00A01281" w:rsidRPr="009651FF" w:rsidRDefault="00A01281" w:rsidP="004D031D">
            <w:pPr>
              <w:spacing w:before="40" w:after="40"/>
              <w:rPr>
                <w:rFonts w:cstheme="minorHAnsi"/>
                <w:b/>
                <w:color w:val="FFFFFF" w:themeColor="background1"/>
                <w:sz w:val="24"/>
                <w:szCs w:val="24"/>
              </w:rPr>
            </w:pPr>
            <w:r>
              <w:rPr>
                <w:rFonts w:cstheme="minorHAnsi"/>
                <w:b/>
                <w:color w:val="FFFFFF" w:themeColor="background1"/>
                <w:sz w:val="24"/>
                <w:szCs w:val="24"/>
              </w:rPr>
              <w:t>GVA</w:t>
            </w:r>
          </w:p>
        </w:tc>
      </w:tr>
      <w:tr w:rsidR="00A01281" w14:paraId="69132D5F" w14:textId="77777777" w:rsidTr="004D031D">
        <w:tc>
          <w:tcPr>
            <w:tcW w:w="4390" w:type="dxa"/>
            <w:shd w:val="clear" w:color="auto" w:fill="E4ECD9" w:themeFill="text2" w:themeFillTint="33"/>
          </w:tcPr>
          <w:p w14:paraId="6DC31143" w14:textId="77777777" w:rsidR="00A01281" w:rsidRDefault="00A01281" w:rsidP="004D031D">
            <w:pPr>
              <w:spacing w:before="40" w:after="40"/>
              <w:rPr>
                <w:rFonts w:cstheme="minorHAnsi"/>
                <w:sz w:val="24"/>
                <w:szCs w:val="24"/>
              </w:rPr>
            </w:pPr>
            <w:r>
              <w:t>Cornwall &amp;</w:t>
            </w:r>
            <w:r w:rsidRPr="00565B3F">
              <w:t xml:space="preserve"> Isles of Scilly</w:t>
            </w:r>
          </w:p>
        </w:tc>
        <w:tc>
          <w:tcPr>
            <w:tcW w:w="708" w:type="dxa"/>
          </w:tcPr>
          <w:p w14:paraId="6F7A300C" w14:textId="77777777" w:rsidR="00A01281" w:rsidRDefault="00A01281" w:rsidP="004D031D">
            <w:pPr>
              <w:spacing w:before="40" w:after="40"/>
              <w:rPr>
                <w:rFonts w:cstheme="minorHAnsi"/>
                <w:sz w:val="24"/>
                <w:szCs w:val="24"/>
              </w:rPr>
            </w:pPr>
            <w:r w:rsidRPr="00565B3F">
              <w:t>72.9</w:t>
            </w:r>
          </w:p>
        </w:tc>
        <w:tc>
          <w:tcPr>
            <w:tcW w:w="284" w:type="dxa"/>
            <w:vMerge/>
          </w:tcPr>
          <w:p w14:paraId="3D922E2D" w14:textId="77777777" w:rsidR="00A01281" w:rsidRPr="00565B3F" w:rsidRDefault="00A01281" w:rsidP="004D031D">
            <w:pPr>
              <w:spacing w:before="40" w:after="40"/>
            </w:pPr>
          </w:p>
        </w:tc>
        <w:tc>
          <w:tcPr>
            <w:tcW w:w="3969" w:type="dxa"/>
            <w:shd w:val="clear" w:color="auto" w:fill="E4ECD9" w:themeFill="text2" w:themeFillTint="33"/>
          </w:tcPr>
          <w:p w14:paraId="2C024AE4" w14:textId="77777777" w:rsidR="00A01281" w:rsidRPr="00565B3F" w:rsidRDefault="00A01281" w:rsidP="004D031D">
            <w:pPr>
              <w:spacing w:before="40" w:after="40"/>
            </w:pPr>
            <w:r w:rsidRPr="00842E02">
              <w:t>London</w:t>
            </w:r>
          </w:p>
        </w:tc>
        <w:tc>
          <w:tcPr>
            <w:tcW w:w="850" w:type="dxa"/>
          </w:tcPr>
          <w:p w14:paraId="6EFFDECC" w14:textId="77777777" w:rsidR="00A01281" w:rsidRPr="00565B3F" w:rsidRDefault="00A01281" w:rsidP="004D031D">
            <w:pPr>
              <w:spacing w:before="40" w:after="40"/>
            </w:pPr>
            <w:r w:rsidRPr="00842E02">
              <w:t>133.7</w:t>
            </w:r>
          </w:p>
        </w:tc>
      </w:tr>
      <w:tr w:rsidR="00A01281" w14:paraId="2495346A" w14:textId="77777777" w:rsidTr="004D031D">
        <w:tc>
          <w:tcPr>
            <w:tcW w:w="4390" w:type="dxa"/>
            <w:shd w:val="clear" w:color="auto" w:fill="E4ECD9" w:themeFill="text2" w:themeFillTint="33"/>
          </w:tcPr>
          <w:p w14:paraId="1FC079B1" w14:textId="77777777" w:rsidR="00A01281" w:rsidRDefault="00A01281" w:rsidP="004D031D">
            <w:pPr>
              <w:spacing w:before="40" w:after="40"/>
              <w:rPr>
                <w:rFonts w:cstheme="minorHAnsi"/>
                <w:sz w:val="24"/>
                <w:szCs w:val="24"/>
              </w:rPr>
            </w:pPr>
            <w:r w:rsidRPr="009356F6">
              <w:t>Black Country</w:t>
            </w:r>
          </w:p>
        </w:tc>
        <w:tc>
          <w:tcPr>
            <w:tcW w:w="708" w:type="dxa"/>
          </w:tcPr>
          <w:p w14:paraId="36094F85" w14:textId="77777777" w:rsidR="00A01281" w:rsidRDefault="00A01281" w:rsidP="004D031D">
            <w:pPr>
              <w:spacing w:before="40" w:after="40"/>
              <w:rPr>
                <w:rFonts w:cstheme="minorHAnsi"/>
                <w:sz w:val="24"/>
                <w:szCs w:val="24"/>
              </w:rPr>
            </w:pPr>
            <w:r w:rsidRPr="009356F6">
              <w:t>80.3</w:t>
            </w:r>
          </w:p>
        </w:tc>
        <w:tc>
          <w:tcPr>
            <w:tcW w:w="284" w:type="dxa"/>
            <w:vMerge/>
          </w:tcPr>
          <w:p w14:paraId="1E3C8174" w14:textId="77777777" w:rsidR="00A01281" w:rsidRPr="009356F6" w:rsidRDefault="00A01281" w:rsidP="004D031D">
            <w:pPr>
              <w:spacing w:before="40" w:after="40"/>
            </w:pPr>
          </w:p>
        </w:tc>
        <w:tc>
          <w:tcPr>
            <w:tcW w:w="3969" w:type="dxa"/>
            <w:shd w:val="clear" w:color="auto" w:fill="E4ECD9" w:themeFill="text2" w:themeFillTint="33"/>
          </w:tcPr>
          <w:p w14:paraId="123EF458" w14:textId="77777777" w:rsidR="00A01281" w:rsidRPr="009356F6" w:rsidRDefault="00A01281" w:rsidP="004D031D">
            <w:pPr>
              <w:spacing w:before="40" w:after="40"/>
            </w:pPr>
            <w:r w:rsidRPr="001C58B5">
              <w:t>Thames Valley Berkshire</w:t>
            </w:r>
          </w:p>
        </w:tc>
        <w:tc>
          <w:tcPr>
            <w:tcW w:w="850" w:type="dxa"/>
          </w:tcPr>
          <w:p w14:paraId="14308619" w14:textId="77777777" w:rsidR="00A01281" w:rsidRPr="009356F6" w:rsidRDefault="00A01281" w:rsidP="004D031D">
            <w:pPr>
              <w:spacing w:before="40" w:after="40"/>
            </w:pPr>
            <w:r w:rsidRPr="001C58B5">
              <w:t>125.8</w:t>
            </w:r>
          </w:p>
        </w:tc>
      </w:tr>
      <w:tr w:rsidR="00A01281" w14:paraId="2F9D6625" w14:textId="77777777" w:rsidTr="004D031D">
        <w:tc>
          <w:tcPr>
            <w:tcW w:w="4390" w:type="dxa"/>
            <w:shd w:val="clear" w:color="auto" w:fill="E4ECD9" w:themeFill="text2" w:themeFillTint="33"/>
          </w:tcPr>
          <w:p w14:paraId="0B089D5A" w14:textId="77777777" w:rsidR="00A01281" w:rsidRDefault="00A01281" w:rsidP="004D031D">
            <w:pPr>
              <w:spacing w:before="40" w:after="40"/>
              <w:rPr>
                <w:rFonts w:cstheme="minorHAnsi"/>
                <w:sz w:val="24"/>
                <w:szCs w:val="24"/>
              </w:rPr>
            </w:pPr>
            <w:r>
              <w:t>Stoke-on-Trent &amp;</w:t>
            </w:r>
            <w:r w:rsidRPr="00965FE4">
              <w:t xml:space="preserve"> Staffordshire</w:t>
            </w:r>
          </w:p>
        </w:tc>
        <w:tc>
          <w:tcPr>
            <w:tcW w:w="708" w:type="dxa"/>
          </w:tcPr>
          <w:p w14:paraId="64894D2D" w14:textId="77777777" w:rsidR="00A01281" w:rsidRDefault="00A01281" w:rsidP="004D031D">
            <w:pPr>
              <w:spacing w:before="40" w:after="40"/>
              <w:rPr>
                <w:rFonts w:cstheme="minorHAnsi"/>
                <w:sz w:val="24"/>
                <w:szCs w:val="24"/>
              </w:rPr>
            </w:pPr>
            <w:r w:rsidRPr="00965FE4">
              <w:t>81.2</w:t>
            </w:r>
          </w:p>
        </w:tc>
        <w:tc>
          <w:tcPr>
            <w:tcW w:w="284" w:type="dxa"/>
            <w:vMerge/>
          </w:tcPr>
          <w:p w14:paraId="02629C21" w14:textId="77777777" w:rsidR="00A01281" w:rsidRPr="00965FE4" w:rsidRDefault="00A01281" w:rsidP="004D031D">
            <w:pPr>
              <w:spacing w:before="40" w:after="40"/>
            </w:pPr>
          </w:p>
        </w:tc>
        <w:tc>
          <w:tcPr>
            <w:tcW w:w="3969" w:type="dxa"/>
            <w:shd w:val="clear" w:color="auto" w:fill="E4ECD9" w:themeFill="text2" w:themeFillTint="33"/>
          </w:tcPr>
          <w:p w14:paraId="1C0C5D3B" w14:textId="77777777" w:rsidR="00A01281" w:rsidRPr="00965FE4" w:rsidRDefault="00A01281" w:rsidP="004D031D">
            <w:pPr>
              <w:spacing w:before="40" w:after="40"/>
            </w:pPr>
            <w:r w:rsidRPr="006C00B3">
              <w:t>Buckinghamshire Thames Valley</w:t>
            </w:r>
          </w:p>
        </w:tc>
        <w:tc>
          <w:tcPr>
            <w:tcW w:w="850" w:type="dxa"/>
          </w:tcPr>
          <w:p w14:paraId="21615F9A" w14:textId="77777777" w:rsidR="00A01281" w:rsidRPr="00965FE4" w:rsidRDefault="00A01281" w:rsidP="004D031D">
            <w:pPr>
              <w:spacing w:before="40" w:after="40"/>
            </w:pPr>
            <w:r w:rsidRPr="006C00B3">
              <w:t>114.4</w:t>
            </w:r>
          </w:p>
        </w:tc>
      </w:tr>
      <w:tr w:rsidR="00A01281" w14:paraId="3CC0C5F1" w14:textId="77777777" w:rsidTr="004D031D">
        <w:tc>
          <w:tcPr>
            <w:tcW w:w="4390" w:type="dxa"/>
            <w:shd w:val="clear" w:color="auto" w:fill="E4ECD9" w:themeFill="text2" w:themeFillTint="33"/>
          </w:tcPr>
          <w:p w14:paraId="4464730E" w14:textId="77777777" w:rsidR="00A01281" w:rsidRDefault="00A01281" w:rsidP="004D031D">
            <w:pPr>
              <w:spacing w:before="40" w:after="40"/>
              <w:rPr>
                <w:rFonts w:cstheme="minorHAnsi"/>
                <w:sz w:val="24"/>
                <w:szCs w:val="24"/>
              </w:rPr>
            </w:pPr>
            <w:r w:rsidRPr="00486E7B">
              <w:t>Heart of the South West</w:t>
            </w:r>
          </w:p>
        </w:tc>
        <w:tc>
          <w:tcPr>
            <w:tcW w:w="708" w:type="dxa"/>
          </w:tcPr>
          <w:p w14:paraId="5C9EC337" w14:textId="77777777" w:rsidR="00A01281" w:rsidRDefault="00A01281" w:rsidP="004D031D">
            <w:pPr>
              <w:spacing w:before="40" w:after="40"/>
              <w:rPr>
                <w:rFonts w:cstheme="minorHAnsi"/>
                <w:sz w:val="24"/>
                <w:szCs w:val="24"/>
              </w:rPr>
            </w:pPr>
            <w:r w:rsidRPr="00486E7B">
              <w:t>82.3</w:t>
            </w:r>
          </w:p>
        </w:tc>
        <w:tc>
          <w:tcPr>
            <w:tcW w:w="284" w:type="dxa"/>
            <w:vMerge/>
          </w:tcPr>
          <w:p w14:paraId="51B3FABB" w14:textId="77777777" w:rsidR="00A01281" w:rsidRPr="00486E7B" w:rsidRDefault="00A01281" w:rsidP="004D031D">
            <w:pPr>
              <w:spacing w:before="40" w:after="40"/>
            </w:pPr>
          </w:p>
        </w:tc>
        <w:tc>
          <w:tcPr>
            <w:tcW w:w="3969" w:type="dxa"/>
            <w:shd w:val="clear" w:color="auto" w:fill="E4ECD9" w:themeFill="text2" w:themeFillTint="33"/>
          </w:tcPr>
          <w:p w14:paraId="00A6CB67" w14:textId="77777777" w:rsidR="00A01281" w:rsidRPr="00486E7B" w:rsidRDefault="00A01281" w:rsidP="004D031D">
            <w:pPr>
              <w:spacing w:before="40" w:after="40"/>
            </w:pPr>
            <w:r w:rsidRPr="00570F62">
              <w:t>Enterprise M3</w:t>
            </w:r>
          </w:p>
        </w:tc>
        <w:tc>
          <w:tcPr>
            <w:tcW w:w="850" w:type="dxa"/>
          </w:tcPr>
          <w:p w14:paraId="19D5DE60" w14:textId="77777777" w:rsidR="00A01281" w:rsidRPr="00486E7B" w:rsidRDefault="00A01281" w:rsidP="004D031D">
            <w:pPr>
              <w:spacing w:before="40" w:after="40"/>
            </w:pPr>
            <w:r w:rsidRPr="00570F62">
              <w:t>113.7</w:t>
            </w:r>
          </w:p>
        </w:tc>
      </w:tr>
      <w:tr w:rsidR="00A01281" w14:paraId="36D15343" w14:textId="77777777" w:rsidTr="004D031D">
        <w:tc>
          <w:tcPr>
            <w:tcW w:w="4390" w:type="dxa"/>
            <w:shd w:val="clear" w:color="auto" w:fill="E4ECD9" w:themeFill="text2" w:themeFillTint="33"/>
          </w:tcPr>
          <w:p w14:paraId="4A769551" w14:textId="77777777" w:rsidR="00A01281" w:rsidRDefault="00A01281" w:rsidP="004D031D">
            <w:pPr>
              <w:spacing w:before="40" w:after="40"/>
              <w:rPr>
                <w:rFonts w:cstheme="minorHAnsi"/>
                <w:sz w:val="24"/>
                <w:szCs w:val="24"/>
              </w:rPr>
            </w:pPr>
            <w:r w:rsidRPr="00A93F4B">
              <w:t>Sheffield City Region</w:t>
            </w:r>
          </w:p>
        </w:tc>
        <w:tc>
          <w:tcPr>
            <w:tcW w:w="708" w:type="dxa"/>
          </w:tcPr>
          <w:p w14:paraId="424B0FA7" w14:textId="77777777" w:rsidR="00A01281" w:rsidRDefault="00A01281" w:rsidP="004D031D">
            <w:pPr>
              <w:spacing w:before="40" w:after="40"/>
              <w:rPr>
                <w:rFonts w:cstheme="minorHAnsi"/>
                <w:sz w:val="24"/>
                <w:szCs w:val="24"/>
              </w:rPr>
            </w:pPr>
            <w:r w:rsidRPr="00A93F4B">
              <w:t>82.8</w:t>
            </w:r>
          </w:p>
        </w:tc>
        <w:tc>
          <w:tcPr>
            <w:tcW w:w="284" w:type="dxa"/>
            <w:vMerge/>
          </w:tcPr>
          <w:p w14:paraId="54A46198" w14:textId="77777777" w:rsidR="00A01281" w:rsidRPr="00A93F4B" w:rsidRDefault="00A01281" w:rsidP="004D031D">
            <w:pPr>
              <w:spacing w:before="40" w:after="40"/>
            </w:pPr>
          </w:p>
        </w:tc>
        <w:tc>
          <w:tcPr>
            <w:tcW w:w="3969" w:type="dxa"/>
            <w:shd w:val="clear" w:color="auto" w:fill="E4ECD9" w:themeFill="text2" w:themeFillTint="33"/>
          </w:tcPr>
          <w:p w14:paraId="4140DB96" w14:textId="77777777" w:rsidR="00A01281" w:rsidRPr="00A93F4B" w:rsidRDefault="00A01281" w:rsidP="004D031D">
            <w:pPr>
              <w:spacing w:before="40" w:after="40"/>
            </w:pPr>
            <w:r w:rsidRPr="00C91EA9">
              <w:t>Oxfordshire</w:t>
            </w:r>
          </w:p>
        </w:tc>
        <w:tc>
          <w:tcPr>
            <w:tcW w:w="850" w:type="dxa"/>
          </w:tcPr>
          <w:p w14:paraId="7034DB63" w14:textId="77777777" w:rsidR="00A01281" w:rsidRPr="00A93F4B" w:rsidRDefault="00A01281" w:rsidP="004D031D">
            <w:pPr>
              <w:spacing w:before="40" w:after="40"/>
            </w:pPr>
            <w:r w:rsidRPr="00C91EA9">
              <w:t>108.7</w:t>
            </w:r>
          </w:p>
        </w:tc>
      </w:tr>
      <w:tr w:rsidR="00A01281" w14:paraId="13707488" w14:textId="77777777" w:rsidTr="004D031D">
        <w:tc>
          <w:tcPr>
            <w:tcW w:w="4390" w:type="dxa"/>
            <w:shd w:val="clear" w:color="auto" w:fill="E4ECD9" w:themeFill="text2" w:themeFillTint="33"/>
          </w:tcPr>
          <w:p w14:paraId="1773F334" w14:textId="77777777" w:rsidR="00A01281" w:rsidRDefault="00A01281" w:rsidP="004D031D">
            <w:pPr>
              <w:spacing w:before="40" w:after="40"/>
              <w:rPr>
                <w:rFonts w:cstheme="minorHAnsi"/>
                <w:sz w:val="24"/>
                <w:szCs w:val="24"/>
              </w:rPr>
            </w:pPr>
            <w:r w:rsidRPr="00F82925">
              <w:t>Greater Lincolnshire</w:t>
            </w:r>
          </w:p>
        </w:tc>
        <w:tc>
          <w:tcPr>
            <w:tcW w:w="708" w:type="dxa"/>
          </w:tcPr>
          <w:p w14:paraId="5645DEC4" w14:textId="77777777" w:rsidR="00A01281" w:rsidRDefault="00A01281" w:rsidP="004D031D">
            <w:pPr>
              <w:spacing w:before="40" w:after="40"/>
              <w:rPr>
                <w:rFonts w:cstheme="minorHAnsi"/>
                <w:sz w:val="24"/>
                <w:szCs w:val="24"/>
              </w:rPr>
            </w:pPr>
            <w:r w:rsidRPr="00F82925">
              <w:t>82.9</w:t>
            </w:r>
          </w:p>
        </w:tc>
        <w:tc>
          <w:tcPr>
            <w:tcW w:w="284" w:type="dxa"/>
            <w:vMerge/>
          </w:tcPr>
          <w:p w14:paraId="517FECFA" w14:textId="77777777" w:rsidR="00A01281" w:rsidRPr="00F82925" w:rsidRDefault="00A01281" w:rsidP="004D031D">
            <w:pPr>
              <w:spacing w:before="40" w:after="40"/>
            </w:pPr>
          </w:p>
        </w:tc>
        <w:tc>
          <w:tcPr>
            <w:tcW w:w="3969" w:type="dxa"/>
            <w:shd w:val="clear" w:color="auto" w:fill="E4ECD9" w:themeFill="text2" w:themeFillTint="33"/>
          </w:tcPr>
          <w:p w14:paraId="33B3229D" w14:textId="77777777" w:rsidR="00A01281" w:rsidRPr="00F82925" w:rsidRDefault="00A01281" w:rsidP="004D031D">
            <w:pPr>
              <w:spacing w:before="40" w:after="40"/>
            </w:pPr>
            <w:r w:rsidRPr="00BB6F3C">
              <w:t>Coast to Capital</w:t>
            </w:r>
          </w:p>
        </w:tc>
        <w:tc>
          <w:tcPr>
            <w:tcW w:w="850" w:type="dxa"/>
          </w:tcPr>
          <w:p w14:paraId="7A43BB2C" w14:textId="77777777" w:rsidR="00A01281" w:rsidRPr="00F82925" w:rsidRDefault="00A01281" w:rsidP="004D031D">
            <w:pPr>
              <w:spacing w:before="40" w:after="40"/>
            </w:pPr>
            <w:r w:rsidRPr="00BB6F3C">
              <w:t>104.9</w:t>
            </w:r>
          </w:p>
        </w:tc>
      </w:tr>
      <w:tr w:rsidR="00A01281" w14:paraId="5534DB49" w14:textId="77777777" w:rsidTr="004D031D">
        <w:tc>
          <w:tcPr>
            <w:tcW w:w="4390" w:type="dxa"/>
            <w:shd w:val="clear" w:color="auto" w:fill="E4ECD9" w:themeFill="text2" w:themeFillTint="33"/>
          </w:tcPr>
          <w:p w14:paraId="5C334E76" w14:textId="77777777" w:rsidR="00A01281" w:rsidRDefault="00A01281" w:rsidP="004D031D">
            <w:pPr>
              <w:spacing w:before="40" w:after="40"/>
              <w:rPr>
                <w:rFonts w:cstheme="minorHAnsi"/>
                <w:sz w:val="24"/>
                <w:szCs w:val="24"/>
              </w:rPr>
            </w:pPr>
            <w:r w:rsidRPr="00CA79AA">
              <w:t>The Marches</w:t>
            </w:r>
          </w:p>
        </w:tc>
        <w:tc>
          <w:tcPr>
            <w:tcW w:w="708" w:type="dxa"/>
          </w:tcPr>
          <w:p w14:paraId="3755E287" w14:textId="77777777" w:rsidR="00A01281" w:rsidRDefault="00A01281" w:rsidP="004D031D">
            <w:pPr>
              <w:spacing w:before="40" w:after="40"/>
              <w:rPr>
                <w:rFonts w:cstheme="minorHAnsi"/>
                <w:sz w:val="24"/>
                <w:szCs w:val="24"/>
              </w:rPr>
            </w:pPr>
            <w:r w:rsidRPr="00CA79AA">
              <w:t>83.0</w:t>
            </w:r>
          </w:p>
        </w:tc>
        <w:tc>
          <w:tcPr>
            <w:tcW w:w="284" w:type="dxa"/>
            <w:vMerge/>
          </w:tcPr>
          <w:p w14:paraId="74E030D4" w14:textId="77777777" w:rsidR="00A01281" w:rsidRPr="00CA79AA" w:rsidRDefault="00A01281" w:rsidP="004D031D">
            <w:pPr>
              <w:spacing w:before="40" w:after="40"/>
            </w:pPr>
          </w:p>
        </w:tc>
        <w:tc>
          <w:tcPr>
            <w:tcW w:w="3969" w:type="dxa"/>
            <w:shd w:val="clear" w:color="auto" w:fill="E4ECD9" w:themeFill="text2" w:themeFillTint="33"/>
          </w:tcPr>
          <w:p w14:paraId="57BE2269" w14:textId="77777777" w:rsidR="00A01281" w:rsidRPr="00CA79AA" w:rsidRDefault="00A01281" w:rsidP="004D031D">
            <w:pPr>
              <w:spacing w:before="40" w:after="40"/>
            </w:pPr>
            <w:r w:rsidRPr="005C557D">
              <w:t>Cheshire &amp; Warrington</w:t>
            </w:r>
          </w:p>
        </w:tc>
        <w:tc>
          <w:tcPr>
            <w:tcW w:w="850" w:type="dxa"/>
          </w:tcPr>
          <w:p w14:paraId="343AF77A" w14:textId="77777777" w:rsidR="00A01281" w:rsidRPr="00CA79AA" w:rsidRDefault="00A01281" w:rsidP="004D031D">
            <w:pPr>
              <w:spacing w:before="40" w:after="40"/>
            </w:pPr>
            <w:r w:rsidRPr="005C557D">
              <w:t>104.1</w:t>
            </w:r>
          </w:p>
        </w:tc>
      </w:tr>
      <w:tr w:rsidR="00A01281" w14:paraId="7EF42D62" w14:textId="77777777" w:rsidTr="004D031D">
        <w:tc>
          <w:tcPr>
            <w:tcW w:w="4390" w:type="dxa"/>
            <w:shd w:val="clear" w:color="auto" w:fill="E4ECD9" w:themeFill="text2" w:themeFillTint="33"/>
          </w:tcPr>
          <w:p w14:paraId="67CD62CC" w14:textId="77777777" w:rsidR="00A01281" w:rsidRDefault="00A01281" w:rsidP="004D031D">
            <w:pPr>
              <w:spacing w:before="40" w:after="40"/>
              <w:rPr>
                <w:rFonts w:cstheme="minorHAnsi"/>
                <w:sz w:val="24"/>
                <w:szCs w:val="24"/>
              </w:rPr>
            </w:pPr>
            <w:r>
              <w:t>York, North Yorkshire &amp;</w:t>
            </w:r>
            <w:r w:rsidRPr="00800346">
              <w:t xml:space="preserve"> East Riding</w:t>
            </w:r>
          </w:p>
        </w:tc>
        <w:tc>
          <w:tcPr>
            <w:tcW w:w="708" w:type="dxa"/>
          </w:tcPr>
          <w:p w14:paraId="4D541FCC" w14:textId="77777777" w:rsidR="00A01281" w:rsidRDefault="00A01281" w:rsidP="004D031D">
            <w:pPr>
              <w:spacing w:before="40" w:after="40"/>
              <w:rPr>
                <w:rFonts w:cstheme="minorHAnsi"/>
                <w:sz w:val="24"/>
                <w:szCs w:val="24"/>
              </w:rPr>
            </w:pPr>
            <w:r w:rsidRPr="00800346">
              <w:t>84.5</w:t>
            </w:r>
          </w:p>
        </w:tc>
        <w:tc>
          <w:tcPr>
            <w:tcW w:w="284" w:type="dxa"/>
            <w:vMerge/>
          </w:tcPr>
          <w:p w14:paraId="2F54C055" w14:textId="77777777" w:rsidR="00A01281" w:rsidRPr="00800346" w:rsidRDefault="00A01281" w:rsidP="004D031D">
            <w:pPr>
              <w:spacing w:before="40" w:after="40"/>
            </w:pPr>
          </w:p>
        </w:tc>
        <w:tc>
          <w:tcPr>
            <w:tcW w:w="3969" w:type="dxa"/>
            <w:shd w:val="clear" w:color="auto" w:fill="E4ECD9" w:themeFill="text2" w:themeFillTint="33"/>
          </w:tcPr>
          <w:p w14:paraId="616353F2" w14:textId="77777777" w:rsidR="00A01281" w:rsidRPr="00800346" w:rsidRDefault="00A01281" w:rsidP="004D031D">
            <w:pPr>
              <w:spacing w:before="40" w:after="40"/>
            </w:pPr>
            <w:r w:rsidRPr="009D4308">
              <w:t>Solent</w:t>
            </w:r>
          </w:p>
        </w:tc>
        <w:tc>
          <w:tcPr>
            <w:tcW w:w="850" w:type="dxa"/>
          </w:tcPr>
          <w:p w14:paraId="3A98474D" w14:textId="77777777" w:rsidR="00A01281" w:rsidRPr="00800346" w:rsidRDefault="00A01281" w:rsidP="004D031D">
            <w:pPr>
              <w:spacing w:before="40" w:after="40"/>
            </w:pPr>
            <w:r w:rsidRPr="009D4308">
              <w:t>102.8</w:t>
            </w:r>
          </w:p>
        </w:tc>
      </w:tr>
      <w:tr w:rsidR="00A01281" w14:paraId="71277F31" w14:textId="77777777" w:rsidTr="004D031D">
        <w:tc>
          <w:tcPr>
            <w:tcW w:w="4390" w:type="dxa"/>
            <w:shd w:val="clear" w:color="auto" w:fill="E4ECD9" w:themeFill="text2" w:themeFillTint="33"/>
          </w:tcPr>
          <w:p w14:paraId="787E15B0" w14:textId="77777777" w:rsidR="00A01281" w:rsidRDefault="00A01281" w:rsidP="004D031D">
            <w:pPr>
              <w:spacing w:before="40" w:after="40"/>
              <w:rPr>
                <w:rFonts w:cstheme="minorHAnsi"/>
                <w:sz w:val="24"/>
                <w:szCs w:val="24"/>
              </w:rPr>
            </w:pPr>
            <w:r w:rsidRPr="009113F6">
              <w:t>Lancashire</w:t>
            </w:r>
          </w:p>
        </w:tc>
        <w:tc>
          <w:tcPr>
            <w:tcW w:w="708" w:type="dxa"/>
          </w:tcPr>
          <w:p w14:paraId="18130257" w14:textId="77777777" w:rsidR="00A01281" w:rsidRDefault="00A01281" w:rsidP="004D031D">
            <w:pPr>
              <w:spacing w:before="40" w:after="40"/>
              <w:rPr>
                <w:rFonts w:cstheme="minorHAnsi"/>
                <w:sz w:val="24"/>
                <w:szCs w:val="24"/>
              </w:rPr>
            </w:pPr>
            <w:r w:rsidRPr="009113F6">
              <w:t>86.0</w:t>
            </w:r>
          </w:p>
        </w:tc>
        <w:tc>
          <w:tcPr>
            <w:tcW w:w="284" w:type="dxa"/>
            <w:vMerge/>
          </w:tcPr>
          <w:p w14:paraId="2C4D91C2" w14:textId="77777777" w:rsidR="00A01281" w:rsidRPr="009113F6" w:rsidRDefault="00A01281" w:rsidP="004D031D">
            <w:pPr>
              <w:spacing w:before="40" w:after="40"/>
            </w:pPr>
          </w:p>
        </w:tc>
        <w:tc>
          <w:tcPr>
            <w:tcW w:w="3969" w:type="dxa"/>
            <w:shd w:val="clear" w:color="auto" w:fill="E4ECD9" w:themeFill="text2" w:themeFillTint="33"/>
          </w:tcPr>
          <w:p w14:paraId="36DD8443" w14:textId="77777777" w:rsidR="00A01281" w:rsidRPr="009113F6" w:rsidRDefault="00A01281" w:rsidP="004D031D">
            <w:pPr>
              <w:spacing w:before="40" w:after="40"/>
            </w:pPr>
            <w:r w:rsidRPr="00A65175">
              <w:t>West of England</w:t>
            </w:r>
          </w:p>
        </w:tc>
        <w:tc>
          <w:tcPr>
            <w:tcW w:w="850" w:type="dxa"/>
          </w:tcPr>
          <w:p w14:paraId="6B27CE70" w14:textId="77777777" w:rsidR="00A01281" w:rsidRPr="009113F6" w:rsidRDefault="00A01281" w:rsidP="004D031D">
            <w:pPr>
              <w:spacing w:before="40" w:after="40"/>
            </w:pPr>
            <w:r w:rsidRPr="00A65175">
              <w:t>102.1</w:t>
            </w:r>
          </w:p>
        </w:tc>
      </w:tr>
      <w:tr w:rsidR="00A01281" w14:paraId="4D96228B" w14:textId="77777777" w:rsidTr="004D031D">
        <w:tc>
          <w:tcPr>
            <w:tcW w:w="4390" w:type="dxa"/>
            <w:shd w:val="clear" w:color="auto" w:fill="E4ECD9" w:themeFill="text2" w:themeFillTint="33"/>
          </w:tcPr>
          <w:p w14:paraId="13477935" w14:textId="77777777" w:rsidR="00A01281" w:rsidRDefault="00A01281" w:rsidP="004D031D">
            <w:pPr>
              <w:spacing w:before="40" w:after="40"/>
              <w:rPr>
                <w:rFonts w:cstheme="minorHAnsi"/>
                <w:sz w:val="24"/>
                <w:szCs w:val="24"/>
              </w:rPr>
            </w:pPr>
            <w:r w:rsidRPr="004E2A9C">
              <w:t>Leeds City Region</w:t>
            </w:r>
          </w:p>
        </w:tc>
        <w:tc>
          <w:tcPr>
            <w:tcW w:w="708" w:type="dxa"/>
          </w:tcPr>
          <w:p w14:paraId="3801AA37" w14:textId="77777777" w:rsidR="00A01281" w:rsidRDefault="00A01281" w:rsidP="004D031D">
            <w:pPr>
              <w:spacing w:before="40" w:after="40"/>
              <w:rPr>
                <w:rFonts w:cstheme="minorHAnsi"/>
                <w:sz w:val="24"/>
                <w:szCs w:val="24"/>
              </w:rPr>
            </w:pPr>
            <w:r w:rsidRPr="004E2A9C">
              <w:t>86.1</w:t>
            </w:r>
          </w:p>
        </w:tc>
        <w:tc>
          <w:tcPr>
            <w:tcW w:w="284" w:type="dxa"/>
            <w:vMerge/>
          </w:tcPr>
          <w:p w14:paraId="32EBD028" w14:textId="77777777" w:rsidR="00A01281" w:rsidRPr="004E2A9C" w:rsidRDefault="00A01281" w:rsidP="004D031D">
            <w:pPr>
              <w:spacing w:before="40" w:after="40"/>
            </w:pPr>
          </w:p>
        </w:tc>
        <w:tc>
          <w:tcPr>
            <w:tcW w:w="3969" w:type="dxa"/>
            <w:shd w:val="clear" w:color="auto" w:fill="E4ECD9" w:themeFill="text2" w:themeFillTint="33"/>
          </w:tcPr>
          <w:p w14:paraId="1B9D4FA6" w14:textId="77777777" w:rsidR="00A01281" w:rsidRPr="004E2A9C" w:rsidRDefault="00A01281" w:rsidP="004D031D">
            <w:pPr>
              <w:spacing w:before="40" w:after="40"/>
            </w:pPr>
            <w:r w:rsidRPr="002D3FB5">
              <w:t>Hertfordshire</w:t>
            </w:r>
          </w:p>
        </w:tc>
        <w:tc>
          <w:tcPr>
            <w:tcW w:w="850" w:type="dxa"/>
          </w:tcPr>
          <w:p w14:paraId="7D0540DC" w14:textId="77777777" w:rsidR="00A01281" w:rsidRPr="004E2A9C" w:rsidRDefault="00A01281" w:rsidP="004D031D">
            <w:pPr>
              <w:spacing w:before="40" w:after="40"/>
            </w:pPr>
            <w:r w:rsidRPr="002D3FB5">
              <w:t>100.7</w:t>
            </w:r>
          </w:p>
        </w:tc>
      </w:tr>
    </w:tbl>
    <w:p w14:paraId="13B81A9F" w14:textId="22A757B0" w:rsidR="00A01281" w:rsidRPr="003A3663" w:rsidRDefault="00A01281" w:rsidP="003A3663">
      <w:pPr>
        <w:spacing w:after="0"/>
        <w:rPr>
          <w:rFonts w:cstheme="minorHAnsi"/>
          <w:i/>
        </w:rPr>
      </w:pPr>
      <w:r w:rsidRPr="003A3663">
        <w:rPr>
          <w:rFonts w:cstheme="minorHAnsi"/>
          <w:i/>
        </w:rPr>
        <w:t>UK = 100</w:t>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r>
      <w:r w:rsidR="000A617E">
        <w:rPr>
          <w:rFonts w:cstheme="minorHAnsi"/>
          <w:i/>
        </w:rPr>
        <w:tab/>
        <w:t xml:space="preserve">         Source: ONS</w:t>
      </w:r>
    </w:p>
    <w:p w14:paraId="7315233B" w14:textId="77777777" w:rsidR="004D5480" w:rsidRPr="003A3663" w:rsidRDefault="004D5480" w:rsidP="003A3663">
      <w:pPr>
        <w:spacing w:after="0"/>
        <w:rPr>
          <w:rFonts w:cstheme="minorHAnsi"/>
        </w:rPr>
      </w:pPr>
    </w:p>
    <w:p w14:paraId="18E1FD5C" w14:textId="30036321" w:rsidR="00A01281" w:rsidRPr="003A3663" w:rsidRDefault="00A01281" w:rsidP="003A3663">
      <w:pPr>
        <w:spacing w:after="0"/>
        <w:rPr>
          <w:rFonts w:cstheme="minorHAnsi"/>
        </w:rPr>
      </w:pPr>
      <w:r w:rsidRPr="003A3663">
        <w:rPr>
          <w:rFonts w:cstheme="minorHAnsi"/>
        </w:rPr>
        <w:t xml:space="preserve">For the LEPs in England, spend per head for the 2014-20 period in the North and Midlands was </w:t>
      </w:r>
      <w:r w:rsidR="002E41E4" w:rsidRPr="00635D25">
        <w:rPr>
          <w:sz w:val="24"/>
          <w:szCs w:val="24"/>
        </w:rPr>
        <w:t>€</w:t>
      </w:r>
      <w:r w:rsidRPr="003A3663">
        <w:rPr>
          <w:rFonts w:cstheme="minorHAnsi"/>
        </w:rPr>
        <w:t xml:space="preserve">147 compared to </w:t>
      </w:r>
      <w:r w:rsidR="002E41E4" w:rsidRPr="00635D25">
        <w:rPr>
          <w:sz w:val="24"/>
          <w:szCs w:val="24"/>
        </w:rPr>
        <w:t>€</w:t>
      </w:r>
      <w:r w:rsidRPr="003A3663">
        <w:rPr>
          <w:rFonts w:cstheme="minorHAnsi"/>
        </w:rPr>
        <w:t>76 (</w:t>
      </w:r>
      <w:r w:rsidR="002E41E4" w:rsidRPr="00635D25">
        <w:rPr>
          <w:sz w:val="24"/>
          <w:szCs w:val="24"/>
        </w:rPr>
        <w:t>€</w:t>
      </w:r>
      <w:r w:rsidRPr="003A3663">
        <w:rPr>
          <w:rFonts w:cstheme="minorHAnsi"/>
        </w:rPr>
        <w:t>59 if Cornwall is excluded) in the South.  If this split is not replicated for the UKSPF, regional divides could become even starker.  Ensuring that this split is repeated in the new Fund requires funding allocation criteria, such as GVA, that delivers this.</w:t>
      </w:r>
    </w:p>
    <w:p w14:paraId="43681538" w14:textId="77777777" w:rsidR="004D5480" w:rsidRPr="003A3663" w:rsidRDefault="004D5480" w:rsidP="003A3663">
      <w:pPr>
        <w:spacing w:after="0"/>
        <w:rPr>
          <w:rFonts w:cstheme="minorHAnsi"/>
        </w:rPr>
      </w:pPr>
    </w:p>
    <w:p w14:paraId="30C183B8" w14:textId="77777777" w:rsidR="00A01281" w:rsidRPr="003A3663" w:rsidRDefault="00A01281" w:rsidP="003A3663">
      <w:pPr>
        <w:spacing w:after="0"/>
        <w:rPr>
          <w:rFonts w:cstheme="minorHAnsi"/>
          <w:b/>
        </w:rPr>
      </w:pPr>
      <w:r w:rsidRPr="003A3663">
        <w:rPr>
          <w:rFonts w:cstheme="minorHAnsi"/>
          <w:b/>
        </w:rPr>
        <w:t>In England, should sub-regions be the basis for financial allocations, as with EU funding at present? (Question 9)</w:t>
      </w:r>
    </w:p>
    <w:p w14:paraId="0AE706C2" w14:textId="7ED94B53" w:rsidR="00A01281" w:rsidRPr="003A3663" w:rsidRDefault="00A01281" w:rsidP="003A3663">
      <w:pPr>
        <w:spacing w:after="0"/>
        <w:jc w:val="both"/>
        <w:rPr>
          <w:rFonts w:cstheme="minorHAnsi"/>
          <w:color w:val="FF0000"/>
        </w:rPr>
      </w:pPr>
      <w:r w:rsidRPr="003A3663">
        <w:rPr>
          <w:rFonts w:cstheme="minorHAnsi"/>
        </w:rPr>
        <w:t xml:space="preserve">The Sheffield City Region believes that the UKSPF should be allocated to functional economic areas, and top-sliced and devolved to MCAs because of </w:t>
      </w:r>
      <w:r w:rsidR="00676297">
        <w:rPr>
          <w:rFonts w:cstheme="minorHAnsi"/>
        </w:rPr>
        <w:t xml:space="preserve">their </w:t>
      </w:r>
      <w:r w:rsidRPr="003A3663">
        <w:rPr>
          <w:rFonts w:cstheme="minorHAnsi"/>
        </w:rPr>
        <w:t>strong and directly accountable governance. Areas should be given autonomy and control over their UKSPF allocation and should not be expected to ring-fence funding from their allocation to support national Government initiatives.  Unlike current European funding and LGF, the UKSPF allocation should not differentiate between capital and revenue funding.  Instead, areas should simply be awarded an amount of money to invest in projects and initiatives that address the needs and priorities of</w:t>
      </w:r>
      <w:r w:rsidR="003C6AF0">
        <w:rPr>
          <w:rFonts w:cstheme="minorHAnsi"/>
        </w:rPr>
        <w:t xml:space="preserve"> urban and rural areas within their</w:t>
      </w:r>
      <w:r w:rsidRPr="003A3663">
        <w:rPr>
          <w:rFonts w:cstheme="minorHAnsi"/>
        </w:rPr>
        <w:t xml:space="preserve"> local economy. </w:t>
      </w:r>
      <w:r w:rsidRPr="003A3663">
        <w:rPr>
          <w:rFonts w:cstheme="minorHAnsi"/>
          <w:color w:val="FF0000"/>
        </w:rPr>
        <w:t xml:space="preserve">  </w:t>
      </w:r>
    </w:p>
    <w:p w14:paraId="4FE50894" w14:textId="77777777" w:rsidR="004D5480" w:rsidRPr="003A3663" w:rsidRDefault="004D5480" w:rsidP="003A3663">
      <w:pPr>
        <w:spacing w:after="0"/>
        <w:jc w:val="both"/>
        <w:rPr>
          <w:rFonts w:cstheme="minorHAnsi"/>
          <w:color w:val="FF0000"/>
        </w:rPr>
      </w:pPr>
    </w:p>
    <w:p w14:paraId="5BFAFCF1" w14:textId="77777777" w:rsidR="00A01281" w:rsidRPr="003A3663" w:rsidRDefault="00A01281" w:rsidP="003A3663">
      <w:pPr>
        <w:spacing w:after="0"/>
        <w:rPr>
          <w:b/>
        </w:rPr>
      </w:pPr>
      <w:r w:rsidRPr="003A3663">
        <w:rPr>
          <w:b/>
        </w:rPr>
        <w:t>As with present-day EU funding, should economic development and convergence remain the primary objectives of the new fund? (Question 10)</w:t>
      </w:r>
    </w:p>
    <w:p w14:paraId="46C699CB" w14:textId="692A9A3B" w:rsidR="00A01281" w:rsidRPr="003A3663" w:rsidRDefault="00A01281" w:rsidP="00A01281">
      <w:r w:rsidRPr="003A3663">
        <w:t xml:space="preserve">One of the great successes of the European Structural Fund </w:t>
      </w:r>
      <w:r w:rsidR="00676297">
        <w:t xml:space="preserve">and Local Growth Fund </w:t>
      </w:r>
      <w:r w:rsidRPr="003A3663">
        <w:t xml:space="preserve">programmes is that they have created employment and developed skills in more struggling regions.  The UKSPF should continue to tackle inequalities and support local economic development and regeneration in local communities.  </w:t>
      </w:r>
    </w:p>
    <w:p w14:paraId="4C06DE55" w14:textId="14B8EFCA" w:rsidR="00A01281" w:rsidRPr="003A3663" w:rsidRDefault="00A01281" w:rsidP="003A3663">
      <w:pPr>
        <w:spacing w:after="0"/>
      </w:pPr>
      <w:r w:rsidRPr="003A3663">
        <w:t>In line with the Government’s Industrial Strategy, UKSPF should also be focused on increasing productivity, and addressing the disparity between lower productivity areas in the North and Midlands to higher productivity areas in the South of England.  This</w:t>
      </w:r>
      <w:r w:rsidR="00676297">
        <w:t xml:space="preserve"> is</w:t>
      </w:r>
      <w:r w:rsidRPr="003A3663">
        <w:t xml:space="preserve"> also </w:t>
      </w:r>
      <w:r w:rsidR="00676297">
        <w:t xml:space="preserve">aligned to the recent statement from the </w:t>
      </w:r>
      <w:r w:rsidR="00676297" w:rsidRPr="003A3663">
        <w:t xml:space="preserve">Secretary of State for Housing, Communities and Local Government </w:t>
      </w:r>
      <w:r w:rsidRPr="003A3663">
        <w:t xml:space="preserve">James Brokenshire MP, </w:t>
      </w:r>
      <w:r w:rsidR="00676297">
        <w:t xml:space="preserve">who said </w:t>
      </w:r>
      <w:r w:rsidRPr="003A3663">
        <w:t>he wants the fund to “tackle inequalities between communities by raising productivity, especially in those parts of our country whose economies are furthest behind.”</w:t>
      </w:r>
    </w:p>
    <w:p w14:paraId="2013E95A" w14:textId="1945A572" w:rsidR="007A6B35" w:rsidRDefault="007A6B35" w:rsidP="003A3663">
      <w:pPr>
        <w:spacing w:after="0"/>
      </w:pPr>
    </w:p>
    <w:p w14:paraId="1FE8B3F9" w14:textId="3D4D1BB8" w:rsidR="00332A59" w:rsidRDefault="00332A59" w:rsidP="003A3663">
      <w:pPr>
        <w:spacing w:after="0"/>
      </w:pPr>
    </w:p>
    <w:p w14:paraId="3E8C37B3" w14:textId="77777777" w:rsidR="00A01281" w:rsidRPr="003A3663" w:rsidRDefault="00A01281" w:rsidP="003A3663">
      <w:pPr>
        <w:spacing w:after="0"/>
        <w:rPr>
          <w:b/>
        </w:rPr>
      </w:pPr>
      <w:r w:rsidRPr="003A3663">
        <w:rPr>
          <w:b/>
        </w:rPr>
        <w:lastRenderedPageBreak/>
        <w:t>Are there activities beyond the scope of present-day EU funding that should be supported? (Question 11)</w:t>
      </w:r>
    </w:p>
    <w:p w14:paraId="2441992F" w14:textId="56B9D0B3" w:rsidR="00A01281" w:rsidRPr="003A3663" w:rsidRDefault="00A01281" w:rsidP="003A3663">
      <w:pPr>
        <w:spacing w:after="0"/>
        <w:rPr>
          <w:rFonts w:cstheme="minorHAnsi"/>
        </w:rPr>
      </w:pPr>
      <w:r w:rsidRPr="003A3663">
        <w:rPr>
          <w:rFonts w:cstheme="minorHAnsi"/>
        </w:rPr>
        <w:t xml:space="preserve">Having to adhere to narrow objectives set in Brussels has been an obstacle to delivering projects that reflect local needs.  </w:t>
      </w:r>
      <w:r w:rsidR="00676297">
        <w:rPr>
          <w:rFonts w:cstheme="minorHAnsi"/>
        </w:rPr>
        <w:t>Brexit and the creation of t</w:t>
      </w:r>
      <w:r w:rsidRPr="003A3663">
        <w:rPr>
          <w:rFonts w:cstheme="minorHAnsi"/>
        </w:rPr>
        <w:t>he UKSPF gives the opportunity to provide areas with the autonomy to invest in locally set priorities (as outlined in the Strategic Economic Plan, Mayoral Manifesto and Local Industrial Strategy for SCR) rather than priorities defined by others.  This process should be managed by the Local Enterprise Partnerships or Combined Authorities, who have robust and transparent processes in place.</w:t>
      </w:r>
    </w:p>
    <w:p w14:paraId="3DF1CD0B" w14:textId="52FC57B0" w:rsidR="009A5652" w:rsidRDefault="009A5652" w:rsidP="003A3663">
      <w:pPr>
        <w:spacing w:after="0"/>
        <w:rPr>
          <w:b/>
        </w:rPr>
      </w:pPr>
    </w:p>
    <w:p w14:paraId="039E5AAC" w14:textId="2BD5A398" w:rsidR="00A01281" w:rsidRPr="003A3663" w:rsidRDefault="00A01281" w:rsidP="003A3663">
      <w:pPr>
        <w:spacing w:after="0"/>
        <w:rPr>
          <w:b/>
        </w:rPr>
      </w:pPr>
      <w:bookmarkStart w:id="0" w:name="_Hlk524342920"/>
      <w:r w:rsidRPr="003A3663">
        <w:rPr>
          <w:b/>
        </w:rPr>
        <w:t>As a UK fund, should the UK Government set the broad guidelines for the priorities to be supported by the Shared Prosperity Fund? (Question 13)</w:t>
      </w:r>
    </w:p>
    <w:p w14:paraId="6D092D9B" w14:textId="197E0D6A" w:rsidR="00A01281" w:rsidRDefault="00A01281" w:rsidP="003A3663">
      <w:pPr>
        <w:spacing w:after="0"/>
      </w:pPr>
      <w:r w:rsidRPr="003A3663">
        <w:t xml:space="preserve">The European Structural Fund programmes have been restrictive by outlining a set of priorities and themes that regions have been obliged to comply with.  They have also set funding limits for each theme, which has created difficulties in dividing funding between themes to address local needs.  </w:t>
      </w:r>
    </w:p>
    <w:p w14:paraId="13D55881" w14:textId="77777777" w:rsidR="00635FB4" w:rsidRPr="003A3663" w:rsidRDefault="00635FB4" w:rsidP="003A3663">
      <w:pPr>
        <w:spacing w:after="0"/>
      </w:pPr>
    </w:p>
    <w:p w14:paraId="14278B32" w14:textId="48AD21B0" w:rsidR="00A01281" w:rsidRPr="003A3663" w:rsidRDefault="00A01281" w:rsidP="003A3663">
      <w:pPr>
        <w:spacing w:after="0"/>
        <w:rPr>
          <w:rFonts w:cstheme="minorHAnsi"/>
        </w:rPr>
      </w:pPr>
      <w:r w:rsidRPr="003A3663">
        <w:rPr>
          <w:rFonts w:cstheme="minorHAnsi"/>
        </w:rPr>
        <w:t>There should be some national steer of the UKSPF aligned with local areas being allowed to determine local priorities.  A national framework with a range of themes aligned with local flexibility would enable regeneration money to be spent on projects that are a priority for a local area.</w:t>
      </w:r>
      <w:r w:rsidR="00A77181">
        <w:rPr>
          <w:rFonts w:cstheme="minorHAnsi"/>
        </w:rPr>
        <w:t xml:space="preserve">  </w:t>
      </w:r>
      <w:r w:rsidR="00A77181" w:rsidRPr="00B776CF">
        <w:rPr>
          <w:rFonts w:cstheme="minorHAnsi"/>
        </w:rPr>
        <w:t xml:space="preserve">If local areas </w:t>
      </w:r>
      <w:r w:rsidR="00AA3962" w:rsidRPr="00B776CF">
        <w:rPr>
          <w:rFonts w:cstheme="minorHAnsi"/>
        </w:rPr>
        <w:t>could</w:t>
      </w:r>
      <w:r w:rsidR="00E078D6" w:rsidRPr="00B776CF">
        <w:rPr>
          <w:rFonts w:cstheme="minorHAnsi"/>
        </w:rPr>
        <w:t xml:space="preserve"> invest in</w:t>
      </w:r>
      <w:r w:rsidR="00A77181" w:rsidRPr="00B776CF">
        <w:rPr>
          <w:rFonts w:cstheme="minorHAnsi"/>
        </w:rPr>
        <w:t xml:space="preserve"> projects</w:t>
      </w:r>
      <w:r w:rsidR="00E078D6" w:rsidRPr="00B776CF">
        <w:rPr>
          <w:rFonts w:cstheme="minorHAnsi"/>
        </w:rPr>
        <w:t xml:space="preserve"> that they wanted and </w:t>
      </w:r>
      <w:r w:rsidR="00A77181" w:rsidRPr="00B776CF">
        <w:rPr>
          <w:rFonts w:cstheme="minorHAnsi"/>
        </w:rPr>
        <w:t xml:space="preserve">was less bureaucratic then there would be higher demand for investment, which has been evident </w:t>
      </w:r>
      <w:r w:rsidR="00E078D6" w:rsidRPr="00B776CF">
        <w:rPr>
          <w:rFonts w:cstheme="minorHAnsi"/>
        </w:rPr>
        <w:t>with</w:t>
      </w:r>
      <w:r w:rsidR="00A77181" w:rsidRPr="00B776CF">
        <w:rPr>
          <w:rFonts w:cstheme="minorHAnsi"/>
        </w:rPr>
        <w:t xml:space="preserve"> the LGF.  There is demand for a more flexible type of investment.</w:t>
      </w:r>
      <w:r w:rsidR="004625CE">
        <w:rPr>
          <w:rFonts w:cstheme="minorHAnsi"/>
        </w:rPr>
        <w:t xml:space="preserve">  Similarly, the role of match-funding could be revaluated.  In recent years in the SCR, partners have welcomed the broad priorities of the ESIF programme but have </w:t>
      </w:r>
      <w:r w:rsidR="00C251F7">
        <w:rPr>
          <w:rFonts w:cstheme="minorHAnsi"/>
        </w:rPr>
        <w:t xml:space="preserve">often </w:t>
      </w:r>
      <w:r w:rsidR="004625CE">
        <w:rPr>
          <w:rFonts w:cstheme="minorHAnsi"/>
        </w:rPr>
        <w:t>struggled to fulfil the match</w:t>
      </w:r>
      <w:r w:rsidR="00C251F7">
        <w:rPr>
          <w:rFonts w:cstheme="minorHAnsi"/>
        </w:rPr>
        <w:t>-funding</w:t>
      </w:r>
      <w:r w:rsidR="004625CE">
        <w:rPr>
          <w:rFonts w:cstheme="minorHAnsi"/>
        </w:rPr>
        <w:t xml:space="preserve"> requirements.  More flexibility for match-funding could deliver more benefits to regions.  </w:t>
      </w:r>
    </w:p>
    <w:bookmarkEnd w:id="0"/>
    <w:p w14:paraId="071364E1" w14:textId="77777777" w:rsidR="007A6B35" w:rsidRPr="003A3663" w:rsidRDefault="007A6B35" w:rsidP="003A3663">
      <w:pPr>
        <w:spacing w:after="0"/>
      </w:pPr>
    </w:p>
    <w:p w14:paraId="4C13C89E" w14:textId="6E3F3C75" w:rsidR="00A01281" w:rsidRPr="003A3663" w:rsidRDefault="00A01281" w:rsidP="003A3663">
      <w:pPr>
        <w:spacing w:after="0"/>
      </w:pPr>
      <w:r w:rsidRPr="003A3663">
        <w:t xml:space="preserve">The Sheffield City Region would want the flexibility to invest the UKSPF in supporting the locally agreed priorities in the Strategic Economic Plan, emerging Local Industrial Strategy and Mayoral Manifesto.  Given that Local Industrial Strategies will be agreed between areas and government then it is to be expected that these would have a level of commonality across the country.  This would be supported by a monitoring and evaluation framework to be agreed in advance of spend for the money focused on outcomes, not just spend outputs. This would enable areas to concentrate funding on addressing the specific needs of their local communities, and to flex the funding to respond to any economic shocks as they arise.   </w:t>
      </w:r>
    </w:p>
    <w:p w14:paraId="58C1FF95" w14:textId="77777777" w:rsidR="007A6B35" w:rsidRPr="003A3663" w:rsidRDefault="007A6B35" w:rsidP="003A3663">
      <w:pPr>
        <w:spacing w:after="0"/>
      </w:pPr>
    </w:p>
    <w:p w14:paraId="2E042BDE" w14:textId="77777777" w:rsidR="00A01281" w:rsidRPr="003A3663" w:rsidRDefault="00A01281" w:rsidP="00A01281">
      <w:pPr>
        <w:spacing w:after="0" w:line="240" w:lineRule="auto"/>
        <w:rPr>
          <w:rFonts w:cstheme="minorHAnsi"/>
          <w:b/>
        </w:rPr>
      </w:pPr>
      <w:r w:rsidRPr="003A3663">
        <w:rPr>
          <w:rFonts w:cstheme="minorHAnsi"/>
          <w:b/>
        </w:rPr>
        <w:t>How should the impact and desired outcomes of the Fund be defined and measured? (Question 15)</w:t>
      </w:r>
    </w:p>
    <w:p w14:paraId="1B200FB1" w14:textId="56394419" w:rsidR="00A01281" w:rsidRPr="003A3663" w:rsidRDefault="00A01281" w:rsidP="00A01281">
      <w:pPr>
        <w:rPr>
          <w:rFonts w:cstheme="minorHAnsi"/>
        </w:rPr>
      </w:pPr>
      <w:r w:rsidRPr="003A3663">
        <w:rPr>
          <w:rFonts w:cstheme="minorHAnsi"/>
        </w:rPr>
        <w:t xml:space="preserve">Impacts and outcomes </w:t>
      </w:r>
      <w:r w:rsidR="00426496">
        <w:rPr>
          <w:rFonts w:cstheme="minorHAnsi"/>
        </w:rPr>
        <w:t xml:space="preserve">of the Fund </w:t>
      </w:r>
      <w:r w:rsidRPr="003A3663">
        <w:rPr>
          <w:rFonts w:cstheme="minorHAnsi"/>
        </w:rPr>
        <w:t xml:space="preserve">should be defined and measured at the local level.  This should be managed by Local Enterprise Partnerships or Combined Authorities, who have robust and transparent processes in place, including: </w:t>
      </w:r>
    </w:p>
    <w:p w14:paraId="3806B6AB" w14:textId="77777777" w:rsidR="00A01281" w:rsidRPr="003A3663" w:rsidRDefault="00A01281" w:rsidP="003A3663">
      <w:pPr>
        <w:numPr>
          <w:ilvl w:val="1"/>
          <w:numId w:val="16"/>
        </w:numPr>
        <w:spacing w:after="0"/>
        <w:ind w:left="1434" w:hanging="357"/>
        <w:rPr>
          <w:rFonts w:cstheme="minorHAnsi"/>
        </w:rPr>
      </w:pPr>
      <w:r w:rsidRPr="003A3663">
        <w:rPr>
          <w:rFonts w:cstheme="minorHAnsi"/>
        </w:rPr>
        <w:t xml:space="preserve">A single pot assurance framework </w:t>
      </w:r>
    </w:p>
    <w:p w14:paraId="749A8EE4" w14:textId="6744CB5F" w:rsidR="00A01281" w:rsidRPr="003A3663" w:rsidRDefault="00A01281" w:rsidP="003A3663">
      <w:pPr>
        <w:numPr>
          <w:ilvl w:val="1"/>
          <w:numId w:val="16"/>
        </w:numPr>
        <w:ind w:left="1434" w:hanging="357"/>
        <w:rPr>
          <w:rFonts w:cstheme="minorHAnsi"/>
        </w:rPr>
      </w:pPr>
      <w:r w:rsidRPr="003A3663">
        <w:rPr>
          <w:rFonts w:cstheme="minorHAnsi"/>
        </w:rPr>
        <w:t>An agreed and single reporting, monitoring and evaluation framework with Government, designed to realise the outcomes in our Strategic Economic Plan, Local Industrial</w:t>
      </w:r>
      <w:r w:rsidR="009A5652" w:rsidRPr="00744615">
        <w:rPr>
          <w:rFonts w:cstheme="minorHAnsi"/>
        </w:rPr>
        <w:t xml:space="preserve"> Strategy and Mayoral Manifesto</w:t>
      </w:r>
    </w:p>
    <w:p w14:paraId="5B790CE3" w14:textId="3BE06833" w:rsidR="00442921" w:rsidRPr="003A3663" w:rsidRDefault="00A01281" w:rsidP="003A3663">
      <w:pPr>
        <w:spacing w:after="0"/>
        <w:rPr>
          <w:rFonts w:cstheme="minorHAnsi"/>
        </w:rPr>
      </w:pPr>
      <w:r w:rsidRPr="003A3663">
        <w:rPr>
          <w:rFonts w:cstheme="minorHAnsi"/>
        </w:rPr>
        <w:t xml:space="preserve">Combined Authorities, particularly ones with a directly elected Mayor, already have a monitoring and evaluation framework in place and are best placed to measure outcomes of the UKSPF. </w:t>
      </w:r>
    </w:p>
    <w:p w14:paraId="2B0A52CE" w14:textId="13CEA449" w:rsidR="00442921" w:rsidRDefault="00442921" w:rsidP="003A3663">
      <w:pPr>
        <w:spacing w:after="0"/>
        <w:rPr>
          <w:rFonts w:cstheme="minorHAnsi"/>
        </w:rPr>
      </w:pPr>
    </w:p>
    <w:p w14:paraId="79813645" w14:textId="77777777" w:rsidR="004625CE" w:rsidRPr="003A3663" w:rsidRDefault="004625CE" w:rsidP="003A3663">
      <w:pPr>
        <w:spacing w:after="0"/>
        <w:rPr>
          <w:rFonts w:cstheme="minorHAnsi"/>
        </w:rPr>
      </w:pPr>
    </w:p>
    <w:p w14:paraId="14A86E54" w14:textId="49EE7130" w:rsidR="00A01281" w:rsidRPr="003A3663" w:rsidRDefault="00A01281" w:rsidP="003A3663">
      <w:pPr>
        <w:spacing w:before="120" w:after="120"/>
        <w:rPr>
          <w:rFonts w:cstheme="minorHAnsi"/>
          <w:sz w:val="24"/>
          <w:szCs w:val="24"/>
        </w:rPr>
      </w:pPr>
      <w:r>
        <w:rPr>
          <w:rFonts w:ascii="Sheffield Headline" w:hAnsi="Sheffield Headline" w:cstheme="minorHAnsi"/>
          <w:color w:val="799C4B" w:themeColor="text2"/>
          <w:sz w:val="24"/>
          <w:szCs w:val="24"/>
        </w:rPr>
        <w:lastRenderedPageBreak/>
        <w:t>Additional Comments</w:t>
      </w:r>
      <w:r w:rsidRPr="0026653E">
        <w:rPr>
          <w:rFonts w:ascii="Sheffield Headline" w:hAnsi="Sheffield Headline" w:cstheme="minorHAnsi"/>
          <w:color w:val="799C4B" w:themeColor="text2"/>
          <w:sz w:val="24"/>
          <w:szCs w:val="24"/>
        </w:rPr>
        <w:t xml:space="preserve"> </w:t>
      </w:r>
    </w:p>
    <w:p w14:paraId="1C9D5ABE" w14:textId="5978D881" w:rsidR="00A01281" w:rsidRPr="003A3663" w:rsidRDefault="00A01281" w:rsidP="003A3663">
      <w:pPr>
        <w:spacing w:after="0"/>
        <w:rPr>
          <w:rFonts w:cstheme="minorHAnsi"/>
        </w:rPr>
      </w:pPr>
      <w:r w:rsidRPr="003A3663">
        <w:rPr>
          <w:rFonts w:cstheme="minorHAnsi"/>
        </w:rPr>
        <w:t>The UKSPF provides the opportunity to continue the positive aspects of European Structural funding whilst also making efficiency improvements.  Positive aspects include targeting funding at more lagging economies by improving skills and creating jobs where money would not have been directed otherwise.   Research has found that Structural Funds have had a positive effect on industry location (</w:t>
      </w:r>
      <w:proofErr w:type="spellStart"/>
      <w:r w:rsidRPr="003A3663">
        <w:rPr>
          <w:rFonts w:cstheme="minorHAnsi"/>
        </w:rPr>
        <w:t>Midelfart-Knarvik</w:t>
      </w:r>
      <w:proofErr w:type="spellEnd"/>
      <w:r w:rsidRPr="003A3663">
        <w:rPr>
          <w:rFonts w:cstheme="minorHAnsi"/>
        </w:rPr>
        <w:t xml:space="preserve"> and Overman, 2002)</w:t>
      </w:r>
      <w:r w:rsidR="00875A20">
        <w:rPr>
          <w:rFonts w:cstheme="minorHAnsi"/>
        </w:rPr>
        <w:t>, job creation (</w:t>
      </w:r>
      <w:proofErr w:type="spellStart"/>
      <w:r w:rsidR="00875A20">
        <w:rPr>
          <w:rFonts w:cstheme="minorHAnsi"/>
        </w:rPr>
        <w:t>Regeneris</w:t>
      </w:r>
      <w:proofErr w:type="spellEnd"/>
      <w:r w:rsidR="00875A20">
        <w:rPr>
          <w:rFonts w:cstheme="minorHAnsi"/>
        </w:rPr>
        <w:t>, 2013)</w:t>
      </w:r>
      <w:r w:rsidRPr="003A3663">
        <w:rPr>
          <w:rFonts w:cstheme="minorHAnsi"/>
        </w:rPr>
        <w:t xml:space="preserve"> and helped deliver regional growth (Ederveen, 2002). Negative aspects of European Structural funding, which ought to be addressed by the UKSPF programme, include excessive regulations, a lack of local control and onerous reporting and monitoring requirements.  </w:t>
      </w:r>
    </w:p>
    <w:p w14:paraId="57DC8AF7" w14:textId="0C185F73" w:rsidR="009A5652" w:rsidRPr="003A3663" w:rsidRDefault="009A5652" w:rsidP="003A3663">
      <w:pPr>
        <w:spacing w:after="0"/>
        <w:rPr>
          <w:rFonts w:cstheme="minorHAnsi"/>
        </w:rPr>
      </w:pPr>
    </w:p>
    <w:p w14:paraId="5BAEF6C6" w14:textId="77777777" w:rsidR="00A01281" w:rsidRPr="003A3663" w:rsidRDefault="00A01281" w:rsidP="003A3663">
      <w:pPr>
        <w:spacing w:after="0"/>
        <w:rPr>
          <w:rFonts w:cstheme="minorHAnsi"/>
          <w:b/>
        </w:rPr>
      </w:pPr>
      <w:r w:rsidRPr="003A3663">
        <w:rPr>
          <w:rFonts w:cstheme="minorHAnsi"/>
          <w:b/>
        </w:rPr>
        <w:t>Key Features of UKSPF</w:t>
      </w:r>
    </w:p>
    <w:p w14:paraId="623DFC45" w14:textId="77777777" w:rsidR="00A01281" w:rsidRPr="003A3663" w:rsidRDefault="00A01281" w:rsidP="00A01281">
      <w:pPr>
        <w:rPr>
          <w:rFonts w:cstheme="minorHAnsi"/>
        </w:rPr>
      </w:pPr>
      <w:r w:rsidRPr="003A3663">
        <w:rPr>
          <w:rFonts w:cstheme="minorHAnsi"/>
        </w:rPr>
        <w:t xml:space="preserve">UKSPF should build on what is already working from the existing LGF programme and which is delivering positive outcomes.  Therefore, UKSPF should be designed to: </w:t>
      </w:r>
    </w:p>
    <w:p w14:paraId="7F03C3F2" w14:textId="77777777" w:rsidR="00A01281" w:rsidRPr="003A3663" w:rsidRDefault="00A01281" w:rsidP="00A01281">
      <w:pPr>
        <w:pStyle w:val="ListParagraph"/>
        <w:numPr>
          <w:ilvl w:val="0"/>
          <w:numId w:val="16"/>
        </w:numPr>
        <w:rPr>
          <w:rFonts w:cstheme="minorHAnsi"/>
        </w:rPr>
      </w:pPr>
      <w:r w:rsidRPr="003A3663">
        <w:rPr>
          <w:rFonts w:cstheme="minorHAnsi"/>
        </w:rPr>
        <w:t>Be a long-term programme that gives certainty over the size of the pot – previous European Funding programmes ran for 7 years and allowed sufficient time for projects to be developed, delivered and evaluated.</w:t>
      </w:r>
    </w:p>
    <w:p w14:paraId="4E8115CC" w14:textId="77777777" w:rsidR="00A01281" w:rsidRPr="003A3663" w:rsidRDefault="00A01281" w:rsidP="00A01281">
      <w:pPr>
        <w:pStyle w:val="ListParagraph"/>
        <w:numPr>
          <w:ilvl w:val="0"/>
          <w:numId w:val="16"/>
        </w:numPr>
        <w:rPr>
          <w:rFonts w:cstheme="minorHAnsi"/>
        </w:rPr>
      </w:pPr>
      <w:r w:rsidRPr="003A3663">
        <w:rPr>
          <w:rFonts w:cstheme="minorHAnsi"/>
        </w:rPr>
        <w:t xml:space="preserve">Be flexible around annual spend.  Thus, losing the ‘in-year spend it or lose it’ mentality of LGF – maybe adopting the ESIF N+3 targets instead where projects are given three years to spend their funding.  </w:t>
      </w:r>
    </w:p>
    <w:p w14:paraId="492E08C1" w14:textId="77777777" w:rsidR="00A01281" w:rsidRPr="003A3663" w:rsidRDefault="00A01281" w:rsidP="00A01281">
      <w:pPr>
        <w:pStyle w:val="ListParagraph"/>
        <w:numPr>
          <w:ilvl w:val="0"/>
          <w:numId w:val="16"/>
        </w:numPr>
        <w:rPr>
          <w:rFonts w:cstheme="minorHAnsi"/>
        </w:rPr>
      </w:pPr>
      <w:r w:rsidRPr="003A3663">
        <w:rPr>
          <w:rFonts w:cstheme="minorHAnsi"/>
        </w:rPr>
        <w:t>Be capital and revenue blind, allowing areas to invest in what is needed and where the greatest opportunities lie regardless of whether it is capital or revenue expenditure.</w:t>
      </w:r>
    </w:p>
    <w:p w14:paraId="06129F32" w14:textId="77777777" w:rsidR="00A01281" w:rsidRPr="003A3663" w:rsidRDefault="00A01281" w:rsidP="00A01281">
      <w:pPr>
        <w:pStyle w:val="ListParagraph"/>
        <w:numPr>
          <w:ilvl w:val="0"/>
          <w:numId w:val="16"/>
        </w:numPr>
        <w:rPr>
          <w:rFonts w:cstheme="minorHAnsi"/>
        </w:rPr>
      </w:pPr>
      <w:r w:rsidRPr="003A3663">
        <w:rPr>
          <w:rFonts w:cstheme="minorHAnsi"/>
        </w:rPr>
        <w:t>Provide areas with the autonomy to invest in locally set priorities (as outlined in the Strategic Economic Plan and Local Industrial Strategy) rather than priorities defined by Government.</w:t>
      </w:r>
    </w:p>
    <w:p w14:paraId="1371F4CB" w14:textId="10F5CE62" w:rsidR="00A01281" w:rsidRPr="003A3663" w:rsidRDefault="00A01281" w:rsidP="00A01281">
      <w:pPr>
        <w:pStyle w:val="ListParagraph"/>
        <w:numPr>
          <w:ilvl w:val="0"/>
          <w:numId w:val="16"/>
        </w:numPr>
        <w:rPr>
          <w:rFonts w:cstheme="minorHAnsi"/>
        </w:rPr>
      </w:pPr>
      <w:r w:rsidRPr="003A3663">
        <w:rPr>
          <w:rFonts w:cstheme="minorHAnsi"/>
        </w:rPr>
        <w:t>Allocated</w:t>
      </w:r>
      <w:r w:rsidR="00170E6C">
        <w:rPr>
          <w:rFonts w:cstheme="minorHAnsi"/>
        </w:rPr>
        <w:t xml:space="preserve"> </w:t>
      </w:r>
      <w:r w:rsidR="00170E6C">
        <w:t>disproportionately</w:t>
      </w:r>
      <w:r w:rsidRPr="003A3663">
        <w:rPr>
          <w:rFonts w:cstheme="minorHAnsi"/>
        </w:rPr>
        <w:t xml:space="preserve"> to areas </w:t>
      </w:r>
      <w:proofErr w:type="gramStart"/>
      <w:r w:rsidRPr="003A3663">
        <w:rPr>
          <w:rFonts w:cstheme="minorHAnsi"/>
        </w:rPr>
        <w:t>on the basis of</w:t>
      </w:r>
      <w:proofErr w:type="gramEnd"/>
      <w:r w:rsidRPr="003A3663">
        <w:rPr>
          <w:rFonts w:cstheme="minorHAnsi"/>
        </w:rPr>
        <w:t xml:space="preserve"> need, with MCAs receiving a top-sliced proportion. </w:t>
      </w:r>
    </w:p>
    <w:p w14:paraId="15C8C8FF" w14:textId="09EDF45C" w:rsidR="00A01281" w:rsidRPr="003A3663" w:rsidRDefault="00A01281" w:rsidP="003A3663">
      <w:pPr>
        <w:pStyle w:val="ListParagraph"/>
        <w:numPr>
          <w:ilvl w:val="0"/>
          <w:numId w:val="16"/>
        </w:numPr>
        <w:spacing w:before="200"/>
        <w:ind w:left="714" w:hanging="357"/>
        <w:contextualSpacing w:val="0"/>
        <w:rPr>
          <w:rFonts w:cstheme="minorHAnsi"/>
        </w:rPr>
      </w:pPr>
      <w:r w:rsidRPr="003A3663">
        <w:rPr>
          <w:rFonts w:cstheme="minorHAnsi"/>
        </w:rPr>
        <w:t xml:space="preserve">Be managed by the Local Enterprise Partnerships or Combined Authorities with robust and transparent processes in place including: </w:t>
      </w:r>
    </w:p>
    <w:p w14:paraId="52D3896C" w14:textId="478179E4" w:rsidR="00A01281" w:rsidRPr="003A3663" w:rsidRDefault="00A01281" w:rsidP="003A3663">
      <w:pPr>
        <w:pStyle w:val="ListParagraph"/>
        <w:numPr>
          <w:ilvl w:val="1"/>
          <w:numId w:val="16"/>
        </w:numPr>
        <w:spacing w:before="200"/>
        <w:ind w:left="1434" w:hanging="357"/>
        <w:rPr>
          <w:rFonts w:cstheme="minorHAnsi"/>
        </w:rPr>
      </w:pPr>
      <w:r w:rsidRPr="003A3663">
        <w:rPr>
          <w:rFonts w:cstheme="minorHAnsi"/>
        </w:rPr>
        <w:t xml:space="preserve">A single pot assurance framework </w:t>
      </w:r>
    </w:p>
    <w:p w14:paraId="184BC336" w14:textId="6D50BCC1" w:rsidR="00A01281" w:rsidRPr="003A3663" w:rsidRDefault="00A01281" w:rsidP="003A3663">
      <w:pPr>
        <w:pStyle w:val="ListParagraph"/>
        <w:numPr>
          <w:ilvl w:val="1"/>
          <w:numId w:val="16"/>
        </w:numPr>
        <w:ind w:left="1434" w:hanging="357"/>
        <w:rPr>
          <w:rFonts w:cstheme="minorHAnsi"/>
        </w:rPr>
      </w:pPr>
      <w:r w:rsidRPr="003A3663">
        <w:rPr>
          <w:rFonts w:cstheme="minorHAnsi"/>
        </w:rPr>
        <w:t>An agreed and single reporting, monitoring and evaluation framework with Government, designed to realise the outcomes in our Strategic Economic Plan, Local Industrial Strategy and Mayoral Manifesto.</w:t>
      </w:r>
    </w:p>
    <w:p w14:paraId="77B3899A" w14:textId="77777777" w:rsidR="00676297" w:rsidRDefault="00676297" w:rsidP="002E41E4">
      <w:pPr>
        <w:rPr>
          <w:b/>
          <w:sz w:val="24"/>
          <w:szCs w:val="24"/>
          <w:u w:val="single"/>
        </w:rPr>
      </w:pPr>
    </w:p>
    <w:p w14:paraId="29760E6D" w14:textId="50EEE427" w:rsidR="002E41E4" w:rsidRPr="002E41E4" w:rsidRDefault="002E41E4" w:rsidP="002E41E4">
      <w:pPr>
        <w:rPr>
          <w:b/>
          <w:sz w:val="24"/>
          <w:szCs w:val="24"/>
          <w:u w:val="single"/>
        </w:rPr>
      </w:pPr>
      <w:r w:rsidRPr="002E41E4">
        <w:rPr>
          <w:b/>
          <w:sz w:val="24"/>
          <w:szCs w:val="24"/>
          <w:u w:val="single"/>
        </w:rPr>
        <w:t>Annex</w:t>
      </w:r>
    </w:p>
    <w:p w14:paraId="3114297D" w14:textId="77777777" w:rsidR="002E41E4" w:rsidRPr="002E41E4" w:rsidRDefault="002E41E4" w:rsidP="00D22545">
      <w:pPr>
        <w:spacing w:after="0"/>
        <w:rPr>
          <w:b/>
          <w:sz w:val="24"/>
          <w:szCs w:val="24"/>
        </w:rPr>
      </w:pPr>
      <w:r w:rsidRPr="002E41E4">
        <w:rPr>
          <w:b/>
          <w:sz w:val="24"/>
          <w:szCs w:val="24"/>
        </w:rPr>
        <w:t>GVA</w:t>
      </w:r>
    </w:p>
    <w:tbl>
      <w:tblPr>
        <w:tblStyle w:val="TableGrid"/>
        <w:tblW w:w="0" w:type="auto"/>
        <w:tblLook w:val="04A0" w:firstRow="1" w:lastRow="0" w:firstColumn="1" w:lastColumn="0" w:noHBand="0" w:noVBand="1"/>
      </w:tblPr>
      <w:tblGrid>
        <w:gridCol w:w="2547"/>
        <w:gridCol w:w="1559"/>
        <w:gridCol w:w="1701"/>
        <w:gridCol w:w="1559"/>
        <w:gridCol w:w="1650"/>
      </w:tblGrid>
      <w:tr w:rsidR="002E41E4" w:rsidRPr="009E0C66" w14:paraId="6C307B46" w14:textId="77777777" w:rsidTr="00F5732A">
        <w:tc>
          <w:tcPr>
            <w:tcW w:w="2547" w:type="dxa"/>
          </w:tcPr>
          <w:p w14:paraId="6D887B98" w14:textId="77777777" w:rsidR="002E41E4" w:rsidRPr="009E0C66" w:rsidRDefault="002E41E4" w:rsidP="00D22545">
            <w:pPr>
              <w:spacing w:line="276" w:lineRule="auto"/>
              <w:rPr>
                <w:sz w:val="24"/>
                <w:szCs w:val="24"/>
              </w:rPr>
            </w:pPr>
            <w:r w:rsidRPr="009E0C66">
              <w:rPr>
                <w:sz w:val="24"/>
                <w:szCs w:val="24"/>
              </w:rPr>
              <w:t>Area</w:t>
            </w:r>
          </w:p>
        </w:tc>
        <w:tc>
          <w:tcPr>
            <w:tcW w:w="1559" w:type="dxa"/>
          </w:tcPr>
          <w:p w14:paraId="27FA7899" w14:textId="77777777" w:rsidR="002E41E4" w:rsidRDefault="002E41E4" w:rsidP="00D22545">
            <w:pPr>
              <w:spacing w:line="276" w:lineRule="auto"/>
              <w:rPr>
                <w:sz w:val="24"/>
                <w:szCs w:val="24"/>
              </w:rPr>
            </w:pPr>
            <w:r w:rsidRPr="009E0C66">
              <w:rPr>
                <w:sz w:val="24"/>
                <w:szCs w:val="24"/>
              </w:rPr>
              <w:t xml:space="preserve">GVA per head £ </w:t>
            </w:r>
          </w:p>
          <w:p w14:paraId="4EF13B28" w14:textId="77777777" w:rsidR="002E41E4" w:rsidRPr="009E0C66" w:rsidRDefault="002E41E4" w:rsidP="00D22545">
            <w:pPr>
              <w:spacing w:line="276" w:lineRule="auto"/>
              <w:rPr>
                <w:sz w:val="24"/>
                <w:szCs w:val="24"/>
              </w:rPr>
            </w:pPr>
            <w:r w:rsidRPr="009E0C66">
              <w:rPr>
                <w:sz w:val="24"/>
                <w:szCs w:val="24"/>
              </w:rPr>
              <w:t>2016</w:t>
            </w:r>
          </w:p>
        </w:tc>
        <w:tc>
          <w:tcPr>
            <w:tcW w:w="1701" w:type="dxa"/>
          </w:tcPr>
          <w:p w14:paraId="17774281" w14:textId="77777777" w:rsidR="002E41E4" w:rsidRPr="009E0C66" w:rsidRDefault="002E41E4" w:rsidP="00D22545">
            <w:pPr>
              <w:spacing w:line="276" w:lineRule="auto"/>
              <w:rPr>
                <w:sz w:val="24"/>
                <w:szCs w:val="24"/>
              </w:rPr>
            </w:pPr>
            <w:r w:rsidRPr="009E0C66">
              <w:rPr>
                <w:sz w:val="24"/>
                <w:szCs w:val="24"/>
              </w:rPr>
              <w:t>10-year growth % 2006-16</w:t>
            </w:r>
          </w:p>
        </w:tc>
        <w:tc>
          <w:tcPr>
            <w:tcW w:w="1559" w:type="dxa"/>
          </w:tcPr>
          <w:p w14:paraId="553F0197" w14:textId="77777777" w:rsidR="002E41E4" w:rsidRPr="009E0C66" w:rsidRDefault="002E41E4" w:rsidP="00D22545">
            <w:pPr>
              <w:spacing w:line="276" w:lineRule="auto"/>
              <w:rPr>
                <w:sz w:val="24"/>
                <w:szCs w:val="24"/>
              </w:rPr>
            </w:pPr>
            <w:r w:rsidRPr="009E0C66">
              <w:rPr>
                <w:sz w:val="24"/>
                <w:szCs w:val="24"/>
              </w:rPr>
              <w:t>5-year growth % 2011-16</w:t>
            </w:r>
          </w:p>
        </w:tc>
        <w:tc>
          <w:tcPr>
            <w:tcW w:w="1650" w:type="dxa"/>
          </w:tcPr>
          <w:p w14:paraId="6D2CD691" w14:textId="77777777" w:rsidR="002E41E4" w:rsidRPr="009E0C66" w:rsidRDefault="002E41E4" w:rsidP="00D22545">
            <w:pPr>
              <w:spacing w:line="276" w:lineRule="auto"/>
              <w:rPr>
                <w:sz w:val="24"/>
                <w:szCs w:val="24"/>
              </w:rPr>
            </w:pPr>
            <w:r w:rsidRPr="009E0C66">
              <w:rPr>
                <w:sz w:val="24"/>
                <w:szCs w:val="24"/>
              </w:rPr>
              <w:t>1-year growth % 2015-16</w:t>
            </w:r>
          </w:p>
        </w:tc>
      </w:tr>
      <w:tr w:rsidR="002E41E4" w:rsidRPr="009E0C66" w14:paraId="45D69938" w14:textId="77777777" w:rsidTr="00F5732A">
        <w:tc>
          <w:tcPr>
            <w:tcW w:w="2547" w:type="dxa"/>
          </w:tcPr>
          <w:p w14:paraId="1AF61D59" w14:textId="77777777" w:rsidR="002E41E4" w:rsidRPr="009E0C66" w:rsidRDefault="002E41E4" w:rsidP="00D22545">
            <w:pPr>
              <w:spacing w:line="276" w:lineRule="auto"/>
              <w:rPr>
                <w:b/>
                <w:sz w:val="24"/>
                <w:szCs w:val="24"/>
              </w:rPr>
            </w:pPr>
            <w:r w:rsidRPr="009E0C66">
              <w:rPr>
                <w:b/>
                <w:sz w:val="24"/>
                <w:szCs w:val="24"/>
              </w:rPr>
              <w:t>SCR (LEP)</w:t>
            </w:r>
          </w:p>
        </w:tc>
        <w:tc>
          <w:tcPr>
            <w:tcW w:w="1559" w:type="dxa"/>
          </w:tcPr>
          <w:p w14:paraId="6ED0AEFA" w14:textId="77777777" w:rsidR="002E41E4" w:rsidRPr="009E0C66" w:rsidRDefault="002E41E4" w:rsidP="00D22545">
            <w:pPr>
              <w:spacing w:line="276" w:lineRule="auto"/>
              <w:rPr>
                <w:b/>
                <w:sz w:val="24"/>
                <w:szCs w:val="24"/>
              </w:rPr>
            </w:pPr>
            <w:r w:rsidRPr="009E0C66">
              <w:rPr>
                <w:b/>
                <w:sz w:val="24"/>
                <w:szCs w:val="24"/>
              </w:rPr>
              <w:t>18364</w:t>
            </w:r>
          </w:p>
        </w:tc>
        <w:tc>
          <w:tcPr>
            <w:tcW w:w="1701" w:type="dxa"/>
          </w:tcPr>
          <w:p w14:paraId="56D5B03E" w14:textId="77777777" w:rsidR="002E41E4" w:rsidRPr="009E0C66" w:rsidRDefault="002E41E4" w:rsidP="00D22545">
            <w:pPr>
              <w:spacing w:line="276" w:lineRule="auto"/>
              <w:rPr>
                <w:b/>
                <w:sz w:val="24"/>
                <w:szCs w:val="24"/>
              </w:rPr>
            </w:pPr>
            <w:r w:rsidRPr="009E0C66">
              <w:rPr>
                <w:b/>
                <w:sz w:val="24"/>
                <w:szCs w:val="24"/>
              </w:rPr>
              <w:t>20.44</w:t>
            </w:r>
          </w:p>
        </w:tc>
        <w:tc>
          <w:tcPr>
            <w:tcW w:w="1559" w:type="dxa"/>
          </w:tcPr>
          <w:p w14:paraId="5ED72B70" w14:textId="77777777" w:rsidR="002E41E4" w:rsidRPr="009E0C66" w:rsidRDefault="002E41E4" w:rsidP="00D22545">
            <w:pPr>
              <w:spacing w:line="276" w:lineRule="auto"/>
              <w:rPr>
                <w:b/>
                <w:sz w:val="24"/>
                <w:szCs w:val="24"/>
              </w:rPr>
            </w:pPr>
            <w:r w:rsidRPr="009E0C66">
              <w:rPr>
                <w:b/>
                <w:sz w:val="24"/>
                <w:szCs w:val="24"/>
              </w:rPr>
              <w:t>13.13</w:t>
            </w:r>
          </w:p>
        </w:tc>
        <w:tc>
          <w:tcPr>
            <w:tcW w:w="1650" w:type="dxa"/>
          </w:tcPr>
          <w:p w14:paraId="7FAA5D9F" w14:textId="77777777" w:rsidR="002E41E4" w:rsidRPr="009E0C66" w:rsidRDefault="002E41E4" w:rsidP="00D22545">
            <w:pPr>
              <w:spacing w:line="276" w:lineRule="auto"/>
              <w:rPr>
                <w:b/>
                <w:sz w:val="24"/>
                <w:szCs w:val="24"/>
              </w:rPr>
            </w:pPr>
            <w:r w:rsidRPr="009E0C66">
              <w:rPr>
                <w:b/>
                <w:sz w:val="24"/>
                <w:szCs w:val="24"/>
              </w:rPr>
              <w:t>1.54</w:t>
            </w:r>
          </w:p>
        </w:tc>
      </w:tr>
      <w:tr w:rsidR="002E41E4" w:rsidRPr="009E0C66" w14:paraId="7F6F3FD8" w14:textId="77777777" w:rsidTr="00F5732A">
        <w:tc>
          <w:tcPr>
            <w:tcW w:w="2547" w:type="dxa"/>
          </w:tcPr>
          <w:p w14:paraId="54C0C7F1" w14:textId="77777777" w:rsidR="002E41E4" w:rsidRPr="00364DA3" w:rsidRDefault="002E41E4" w:rsidP="00D22545">
            <w:pPr>
              <w:spacing w:line="276" w:lineRule="auto"/>
              <w:rPr>
                <w:sz w:val="24"/>
                <w:szCs w:val="24"/>
              </w:rPr>
            </w:pPr>
            <w:r w:rsidRPr="009E0C66">
              <w:rPr>
                <w:sz w:val="24"/>
                <w:szCs w:val="24"/>
              </w:rPr>
              <w:t>Yorkshire</w:t>
            </w:r>
          </w:p>
        </w:tc>
        <w:tc>
          <w:tcPr>
            <w:tcW w:w="1559" w:type="dxa"/>
          </w:tcPr>
          <w:p w14:paraId="02C35726" w14:textId="77777777" w:rsidR="002E41E4" w:rsidRPr="00364DA3" w:rsidRDefault="002E41E4" w:rsidP="00D22545">
            <w:pPr>
              <w:spacing w:line="276" w:lineRule="auto"/>
              <w:rPr>
                <w:sz w:val="24"/>
                <w:szCs w:val="24"/>
              </w:rPr>
            </w:pPr>
            <w:r w:rsidRPr="009E0C66">
              <w:rPr>
                <w:sz w:val="24"/>
                <w:szCs w:val="24"/>
              </w:rPr>
              <w:t>21285</w:t>
            </w:r>
          </w:p>
        </w:tc>
        <w:tc>
          <w:tcPr>
            <w:tcW w:w="1701" w:type="dxa"/>
          </w:tcPr>
          <w:p w14:paraId="1AF3042E" w14:textId="77777777" w:rsidR="002E41E4" w:rsidRPr="00364DA3" w:rsidRDefault="002E41E4" w:rsidP="00D22545">
            <w:pPr>
              <w:spacing w:line="276" w:lineRule="auto"/>
              <w:rPr>
                <w:sz w:val="24"/>
                <w:szCs w:val="24"/>
              </w:rPr>
            </w:pPr>
            <w:r w:rsidRPr="009E0C66">
              <w:rPr>
                <w:sz w:val="24"/>
                <w:szCs w:val="24"/>
              </w:rPr>
              <w:t>18.92</w:t>
            </w:r>
          </w:p>
        </w:tc>
        <w:tc>
          <w:tcPr>
            <w:tcW w:w="1559" w:type="dxa"/>
          </w:tcPr>
          <w:p w14:paraId="77F4151A" w14:textId="77777777" w:rsidR="002E41E4" w:rsidRPr="00364DA3" w:rsidRDefault="002E41E4" w:rsidP="00D22545">
            <w:pPr>
              <w:spacing w:line="276" w:lineRule="auto"/>
              <w:rPr>
                <w:sz w:val="24"/>
                <w:szCs w:val="24"/>
              </w:rPr>
            </w:pPr>
            <w:r w:rsidRPr="009E0C66">
              <w:rPr>
                <w:sz w:val="24"/>
                <w:szCs w:val="24"/>
              </w:rPr>
              <w:t>13.03</w:t>
            </w:r>
          </w:p>
        </w:tc>
        <w:tc>
          <w:tcPr>
            <w:tcW w:w="1650" w:type="dxa"/>
          </w:tcPr>
          <w:p w14:paraId="69DA86B8" w14:textId="77777777" w:rsidR="002E41E4" w:rsidRPr="00364DA3" w:rsidRDefault="002E41E4" w:rsidP="00D22545">
            <w:pPr>
              <w:spacing w:line="276" w:lineRule="auto"/>
              <w:rPr>
                <w:sz w:val="24"/>
                <w:szCs w:val="24"/>
              </w:rPr>
            </w:pPr>
            <w:r w:rsidRPr="009E0C66">
              <w:rPr>
                <w:sz w:val="24"/>
                <w:szCs w:val="24"/>
              </w:rPr>
              <w:t>2.24</w:t>
            </w:r>
          </w:p>
        </w:tc>
      </w:tr>
      <w:tr w:rsidR="002E41E4" w:rsidRPr="009E0C66" w14:paraId="39BBCEAF" w14:textId="77777777" w:rsidTr="00F5732A">
        <w:tc>
          <w:tcPr>
            <w:tcW w:w="2547" w:type="dxa"/>
          </w:tcPr>
          <w:p w14:paraId="69F13D19" w14:textId="77777777" w:rsidR="002E41E4" w:rsidRPr="009E0C66" w:rsidRDefault="002E41E4" w:rsidP="00D22545">
            <w:pPr>
              <w:spacing w:line="276" w:lineRule="auto"/>
              <w:rPr>
                <w:sz w:val="24"/>
                <w:szCs w:val="24"/>
              </w:rPr>
            </w:pPr>
            <w:r w:rsidRPr="00364DA3">
              <w:rPr>
                <w:sz w:val="24"/>
                <w:szCs w:val="24"/>
              </w:rPr>
              <w:t>UK</w:t>
            </w:r>
          </w:p>
        </w:tc>
        <w:tc>
          <w:tcPr>
            <w:tcW w:w="1559" w:type="dxa"/>
          </w:tcPr>
          <w:p w14:paraId="66C1DD31" w14:textId="77777777" w:rsidR="002E41E4" w:rsidRPr="009E0C66" w:rsidRDefault="002E41E4" w:rsidP="00D22545">
            <w:pPr>
              <w:spacing w:line="276" w:lineRule="auto"/>
              <w:rPr>
                <w:sz w:val="24"/>
                <w:szCs w:val="24"/>
              </w:rPr>
            </w:pPr>
            <w:r w:rsidRPr="00364DA3">
              <w:rPr>
                <w:sz w:val="24"/>
                <w:szCs w:val="24"/>
              </w:rPr>
              <w:t>26584</w:t>
            </w:r>
          </w:p>
        </w:tc>
        <w:tc>
          <w:tcPr>
            <w:tcW w:w="1701" w:type="dxa"/>
          </w:tcPr>
          <w:p w14:paraId="364F9D55" w14:textId="77777777" w:rsidR="002E41E4" w:rsidRPr="009E0C66" w:rsidRDefault="002E41E4" w:rsidP="00D22545">
            <w:pPr>
              <w:spacing w:line="276" w:lineRule="auto"/>
              <w:rPr>
                <w:sz w:val="24"/>
                <w:szCs w:val="24"/>
              </w:rPr>
            </w:pPr>
            <w:r w:rsidRPr="00364DA3">
              <w:rPr>
                <w:sz w:val="24"/>
                <w:szCs w:val="24"/>
              </w:rPr>
              <w:t>22.63</w:t>
            </w:r>
          </w:p>
        </w:tc>
        <w:tc>
          <w:tcPr>
            <w:tcW w:w="1559" w:type="dxa"/>
          </w:tcPr>
          <w:p w14:paraId="27539B60" w14:textId="77777777" w:rsidR="002E41E4" w:rsidRPr="009E0C66" w:rsidRDefault="002E41E4" w:rsidP="00D22545">
            <w:pPr>
              <w:spacing w:line="276" w:lineRule="auto"/>
              <w:rPr>
                <w:sz w:val="24"/>
                <w:szCs w:val="24"/>
              </w:rPr>
            </w:pPr>
            <w:r w:rsidRPr="00364DA3">
              <w:rPr>
                <w:sz w:val="24"/>
                <w:szCs w:val="24"/>
              </w:rPr>
              <w:t>15.32</w:t>
            </w:r>
          </w:p>
        </w:tc>
        <w:tc>
          <w:tcPr>
            <w:tcW w:w="1650" w:type="dxa"/>
          </w:tcPr>
          <w:p w14:paraId="4D7C6F04" w14:textId="77777777" w:rsidR="002E41E4" w:rsidRPr="009E0C66" w:rsidRDefault="002E41E4" w:rsidP="00D22545">
            <w:pPr>
              <w:spacing w:line="276" w:lineRule="auto"/>
              <w:rPr>
                <w:sz w:val="24"/>
                <w:szCs w:val="24"/>
              </w:rPr>
            </w:pPr>
            <w:r w:rsidRPr="00364DA3">
              <w:rPr>
                <w:sz w:val="24"/>
                <w:szCs w:val="24"/>
              </w:rPr>
              <w:t>2.73</w:t>
            </w:r>
          </w:p>
        </w:tc>
      </w:tr>
    </w:tbl>
    <w:p w14:paraId="74F4EE6E" w14:textId="77777777" w:rsidR="002E41E4" w:rsidRPr="002E41E4" w:rsidRDefault="002E41E4" w:rsidP="00D22545">
      <w:pPr>
        <w:spacing w:after="0"/>
        <w:rPr>
          <w:sz w:val="24"/>
          <w:szCs w:val="24"/>
        </w:rPr>
      </w:pPr>
      <w:r w:rsidRPr="002E41E4">
        <w:rPr>
          <w:sz w:val="24"/>
          <w:szCs w:val="24"/>
        </w:rPr>
        <w:t>Table 1: GVA performance by district.                                                                                           Source: ONS</w:t>
      </w:r>
    </w:p>
    <w:p w14:paraId="0EF6C9DA" w14:textId="47FE392D" w:rsidR="002E41E4" w:rsidRPr="002E41E4" w:rsidRDefault="002E41E4" w:rsidP="00D22545">
      <w:pPr>
        <w:spacing w:after="0"/>
        <w:rPr>
          <w:sz w:val="24"/>
          <w:szCs w:val="24"/>
        </w:rPr>
      </w:pPr>
      <w:r w:rsidRPr="002E41E4">
        <w:rPr>
          <w:sz w:val="24"/>
          <w:szCs w:val="24"/>
        </w:rPr>
        <w:lastRenderedPageBreak/>
        <w:t xml:space="preserve">As can be seen, the GVA per head of the SCR is considerably below the levels in both Yorkshire and well below the whole UK.  In addition, GVA growth over the last 1, 5 and 10 years has been well below the national average in the SCR. </w:t>
      </w:r>
    </w:p>
    <w:p w14:paraId="42E89B91" w14:textId="78C736DC" w:rsidR="00676297" w:rsidRDefault="00676297" w:rsidP="00D22545">
      <w:pPr>
        <w:spacing w:after="0"/>
        <w:rPr>
          <w:b/>
          <w:sz w:val="24"/>
          <w:szCs w:val="24"/>
        </w:rPr>
      </w:pPr>
    </w:p>
    <w:p w14:paraId="2CAA7834" w14:textId="60CA6952" w:rsidR="002E41E4" w:rsidRPr="002E41E4" w:rsidRDefault="002E41E4" w:rsidP="00D22545">
      <w:pPr>
        <w:spacing w:after="0"/>
        <w:rPr>
          <w:b/>
          <w:sz w:val="24"/>
          <w:szCs w:val="24"/>
        </w:rPr>
      </w:pPr>
      <w:r w:rsidRPr="002E41E4">
        <w:rPr>
          <w:b/>
          <w:sz w:val="24"/>
          <w:szCs w:val="24"/>
        </w:rPr>
        <w:t>Productivity</w:t>
      </w:r>
    </w:p>
    <w:tbl>
      <w:tblPr>
        <w:tblStyle w:val="TableGrid"/>
        <w:tblW w:w="0" w:type="auto"/>
        <w:tblLook w:val="04A0" w:firstRow="1" w:lastRow="0" w:firstColumn="1" w:lastColumn="0" w:noHBand="0" w:noVBand="1"/>
      </w:tblPr>
      <w:tblGrid>
        <w:gridCol w:w="1464"/>
        <w:gridCol w:w="1394"/>
        <w:gridCol w:w="1275"/>
        <w:gridCol w:w="1276"/>
        <w:gridCol w:w="1276"/>
        <w:gridCol w:w="1276"/>
        <w:gridCol w:w="1224"/>
      </w:tblGrid>
      <w:tr w:rsidR="002E41E4" w:rsidRPr="009E0C66" w14:paraId="29306560" w14:textId="77777777" w:rsidTr="00F5732A">
        <w:trPr>
          <w:trHeight w:val="315"/>
        </w:trPr>
        <w:tc>
          <w:tcPr>
            <w:tcW w:w="1464" w:type="dxa"/>
            <w:vMerge w:val="restart"/>
          </w:tcPr>
          <w:p w14:paraId="22D22BB9" w14:textId="77777777" w:rsidR="002E41E4" w:rsidRPr="009E0C66" w:rsidRDefault="002E41E4" w:rsidP="00D22545">
            <w:pPr>
              <w:spacing w:line="276" w:lineRule="auto"/>
              <w:rPr>
                <w:bCs/>
                <w:sz w:val="24"/>
                <w:szCs w:val="24"/>
              </w:rPr>
            </w:pPr>
            <w:r w:rsidRPr="009E0C66">
              <w:rPr>
                <w:bCs/>
                <w:sz w:val="24"/>
                <w:szCs w:val="24"/>
              </w:rPr>
              <w:t>District/Area</w:t>
            </w:r>
          </w:p>
        </w:tc>
        <w:tc>
          <w:tcPr>
            <w:tcW w:w="1394" w:type="dxa"/>
            <w:vMerge w:val="restart"/>
            <w:noWrap/>
          </w:tcPr>
          <w:p w14:paraId="73E420F6" w14:textId="77777777" w:rsidR="002E41E4" w:rsidRPr="009E0C66" w:rsidRDefault="002E41E4" w:rsidP="00D22545">
            <w:pPr>
              <w:spacing w:line="276" w:lineRule="auto"/>
              <w:rPr>
                <w:bCs/>
                <w:sz w:val="24"/>
                <w:szCs w:val="24"/>
              </w:rPr>
            </w:pPr>
            <w:r>
              <w:rPr>
                <w:bCs/>
                <w:sz w:val="24"/>
                <w:szCs w:val="24"/>
              </w:rPr>
              <w:t>2017 productivity (GVA/emp</w:t>
            </w:r>
            <w:r w:rsidRPr="009E0C66">
              <w:rPr>
                <w:bCs/>
                <w:sz w:val="24"/>
                <w:szCs w:val="24"/>
              </w:rPr>
              <w:t>)</w:t>
            </w:r>
          </w:p>
        </w:tc>
        <w:tc>
          <w:tcPr>
            <w:tcW w:w="6327" w:type="dxa"/>
            <w:gridSpan w:val="5"/>
            <w:noWrap/>
          </w:tcPr>
          <w:p w14:paraId="11D16585" w14:textId="77777777" w:rsidR="002E41E4" w:rsidRPr="009E0C66" w:rsidRDefault="002E41E4" w:rsidP="00D22545">
            <w:pPr>
              <w:spacing w:line="276" w:lineRule="auto"/>
              <w:rPr>
                <w:sz w:val="24"/>
                <w:szCs w:val="24"/>
              </w:rPr>
            </w:pPr>
            <w:r w:rsidRPr="009E0C66">
              <w:rPr>
                <w:sz w:val="24"/>
                <w:szCs w:val="24"/>
              </w:rPr>
              <w:t>Productivity growth over period:</w:t>
            </w:r>
          </w:p>
        </w:tc>
      </w:tr>
      <w:tr w:rsidR="002E41E4" w:rsidRPr="009E0C66" w14:paraId="12DE9BE7" w14:textId="77777777" w:rsidTr="00F5732A">
        <w:trPr>
          <w:trHeight w:val="315"/>
        </w:trPr>
        <w:tc>
          <w:tcPr>
            <w:tcW w:w="1464" w:type="dxa"/>
            <w:vMerge/>
          </w:tcPr>
          <w:p w14:paraId="40ADE758" w14:textId="77777777" w:rsidR="002E41E4" w:rsidRPr="009E0C66" w:rsidRDefault="002E41E4" w:rsidP="00D22545">
            <w:pPr>
              <w:spacing w:line="276" w:lineRule="auto"/>
              <w:rPr>
                <w:bCs/>
                <w:sz w:val="24"/>
                <w:szCs w:val="24"/>
              </w:rPr>
            </w:pPr>
          </w:p>
        </w:tc>
        <w:tc>
          <w:tcPr>
            <w:tcW w:w="1394" w:type="dxa"/>
            <w:vMerge/>
            <w:noWrap/>
            <w:hideMark/>
          </w:tcPr>
          <w:p w14:paraId="6A910225" w14:textId="77777777" w:rsidR="002E41E4" w:rsidRPr="009E0C66" w:rsidRDefault="002E41E4" w:rsidP="00D22545">
            <w:pPr>
              <w:spacing w:line="276" w:lineRule="auto"/>
              <w:rPr>
                <w:bCs/>
                <w:sz w:val="24"/>
                <w:szCs w:val="24"/>
              </w:rPr>
            </w:pPr>
          </w:p>
        </w:tc>
        <w:tc>
          <w:tcPr>
            <w:tcW w:w="1275" w:type="dxa"/>
            <w:noWrap/>
            <w:hideMark/>
          </w:tcPr>
          <w:p w14:paraId="580C23DA" w14:textId="77777777" w:rsidR="002E41E4" w:rsidRPr="009E0C66" w:rsidRDefault="002E41E4" w:rsidP="00D22545">
            <w:pPr>
              <w:spacing w:line="276" w:lineRule="auto"/>
              <w:rPr>
                <w:sz w:val="24"/>
                <w:szCs w:val="24"/>
              </w:rPr>
            </w:pPr>
            <w:r w:rsidRPr="009E0C66">
              <w:rPr>
                <w:sz w:val="24"/>
                <w:szCs w:val="24"/>
              </w:rPr>
              <w:t xml:space="preserve">Six-year 2011-17 </w:t>
            </w:r>
          </w:p>
        </w:tc>
        <w:tc>
          <w:tcPr>
            <w:tcW w:w="1276" w:type="dxa"/>
            <w:noWrap/>
            <w:hideMark/>
          </w:tcPr>
          <w:p w14:paraId="64C836F0" w14:textId="77777777" w:rsidR="002E41E4" w:rsidRPr="009E0C66" w:rsidRDefault="002E41E4" w:rsidP="00D22545">
            <w:pPr>
              <w:spacing w:line="276" w:lineRule="auto"/>
              <w:rPr>
                <w:sz w:val="24"/>
                <w:szCs w:val="24"/>
              </w:rPr>
            </w:pPr>
            <w:r w:rsidRPr="009E0C66">
              <w:rPr>
                <w:sz w:val="24"/>
                <w:szCs w:val="24"/>
              </w:rPr>
              <w:t>Two-year 2015-17</w:t>
            </w:r>
          </w:p>
        </w:tc>
        <w:tc>
          <w:tcPr>
            <w:tcW w:w="1276" w:type="dxa"/>
            <w:noWrap/>
            <w:hideMark/>
          </w:tcPr>
          <w:p w14:paraId="6FF07FBC" w14:textId="77777777" w:rsidR="002E41E4" w:rsidRPr="009E0C66" w:rsidRDefault="002E41E4" w:rsidP="00D22545">
            <w:pPr>
              <w:spacing w:line="276" w:lineRule="auto"/>
              <w:rPr>
                <w:sz w:val="24"/>
                <w:szCs w:val="24"/>
              </w:rPr>
            </w:pPr>
            <w:r w:rsidRPr="009E0C66">
              <w:rPr>
                <w:sz w:val="24"/>
                <w:szCs w:val="24"/>
              </w:rPr>
              <w:t>One-year 2016-17</w:t>
            </w:r>
          </w:p>
        </w:tc>
        <w:tc>
          <w:tcPr>
            <w:tcW w:w="1276" w:type="dxa"/>
            <w:noWrap/>
            <w:hideMark/>
          </w:tcPr>
          <w:p w14:paraId="7861345F" w14:textId="77777777" w:rsidR="002E41E4" w:rsidRPr="009E0C66" w:rsidRDefault="002E41E4" w:rsidP="00D22545">
            <w:pPr>
              <w:spacing w:line="276" w:lineRule="auto"/>
              <w:rPr>
                <w:sz w:val="24"/>
                <w:szCs w:val="24"/>
              </w:rPr>
            </w:pPr>
            <w:r w:rsidRPr="009E0C66">
              <w:rPr>
                <w:sz w:val="24"/>
                <w:szCs w:val="24"/>
              </w:rPr>
              <w:t>Forecast 2017-22</w:t>
            </w:r>
          </w:p>
        </w:tc>
        <w:tc>
          <w:tcPr>
            <w:tcW w:w="1224" w:type="dxa"/>
            <w:noWrap/>
            <w:hideMark/>
          </w:tcPr>
          <w:p w14:paraId="44232210" w14:textId="77777777" w:rsidR="002E41E4" w:rsidRPr="009E0C66" w:rsidRDefault="002E41E4" w:rsidP="00D22545">
            <w:pPr>
              <w:spacing w:line="276" w:lineRule="auto"/>
              <w:rPr>
                <w:sz w:val="24"/>
                <w:szCs w:val="24"/>
              </w:rPr>
            </w:pPr>
            <w:r w:rsidRPr="009E0C66">
              <w:rPr>
                <w:sz w:val="24"/>
                <w:szCs w:val="24"/>
              </w:rPr>
              <w:t>Forecast 2017-27</w:t>
            </w:r>
          </w:p>
        </w:tc>
      </w:tr>
      <w:tr w:rsidR="002E41E4" w:rsidRPr="009E0C66" w14:paraId="19599440" w14:textId="77777777" w:rsidTr="00F5732A">
        <w:trPr>
          <w:trHeight w:val="300"/>
        </w:trPr>
        <w:tc>
          <w:tcPr>
            <w:tcW w:w="1464" w:type="dxa"/>
          </w:tcPr>
          <w:p w14:paraId="010FA977" w14:textId="77777777" w:rsidR="002E41E4" w:rsidRPr="009E0C66" w:rsidRDefault="002E41E4" w:rsidP="00D22545">
            <w:pPr>
              <w:spacing w:line="276" w:lineRule="auto"/>
              <w:rPr>
                <w:b/>
                <w:sz w:val="24"/>
                <w:szCs w:val="24"/>
              </w:rPr>
            </w:pPr>
            <w:r w:rsidRPr="009E0C66">
              <w:rPr>
                <w:b/>
                <w:sz w:val="24"/>
                <w:szCs w:val="24"/>
              </w:rPr>
              <w:t>SCR</w:t>
            </w:r>
          </w:p>
        </w:tc>
        <w:tc>
          <w:tcPr>
            <w:tcW w:w="1394" w:type="dxa"/>
            <w:noWrap/>
            <w:hideMark/>
          </w:tcPr>
          <w:p w14:paraId="50E4E4B7" w14:textId="77777777" w:rsidR="002E41E4" w:rsidRPr="009E0C66" w:rsidRDefault="002E41E4" w:rsidP="00D22545">
            <w:pPr>
              <w:spacing w:line="276" w:lineRule="auto"/>
              <w:rPr>
                <w:b/>
                <w:sz w:val="24"/>
                <w:szCs w:val="24"/>
              </w:rPr>
            </w:pPr>
            <w:r w:rsidRPr="009E0C66">
              <w:rPr>
                <w:b/>
                <w:sz w:val="24"/>
                <w:szCs w:val="24"/>
              </w:rPr>
              <w:t>50.0</w:t>
            </w:r>
          </w:p>
        </w:tc>
        <w:tc>
          <w:tcPr>
            <w:tcW w:w="1275" w:type="dxa"/>
            <w:noWrap/>
            <w:hideMark/>
          </w:tcPr>
          <w:p w14:paraId="782719F1" w14:textId="77777777" w:rsidR="002E41E4" w:rsidRPr="009E0C66" w:rsidRDefault="002E41E4" w:rsidP="00D22545">
            <w:pPr>
              <w:spacing w:line="276" w:lineRule="auto"/>
              <w:rPr>
                <w:b/>
                <w:sz w:val="24"/>
                <w:szCs w:val="24"/>
              </w:rPr>
            </w:pPr>
            <w:r w:rsidRPr="009E0C66">
              <w:rPr>
                <w:b/>
                <w:sz w:val="24"/>
                <w:szCs w:val="24"/>
              </w:rPr>
              <w:t>0.91</w:t>
            </w:r>
          </w:p>
        </w:tc>
        <w:tc>
          <w:tcPr>
            <w:tcW w:w="1276" w:type="dxa"/>
            <w:noWrap/>
            <w:hideMark/>
          </w:tcPr>
          <w:p w14:paraId="0F1B3993" w14:textId="77777777" w:rsidR="002E41E4" w:rsidRPr="009E0C66" w:rsidRDefault="002E41E4" w:rsidP="00D22545">
            <w:pPr>
              <w:spacing w:line="276" w:lineRule="auto"/>
              <w:rPr>
                <w:b/>
                <w:sz w:val="24"/>
                <w:szCs w:val="24"/>
              </w:rPr>
            </w:pPr>
            <w:r w:rsidRPr="009E0C66">
              <w:rPr>
                <w:b/>
                <w:sz w:val="24"/>
                <w:szCs w:val="24"/>
              </w:rPr>
              <w:t>0.85</w:t>
            </w:r>
          </w:p>
        </w:tc>
        <w:tc>
          <w:tcPr>
            <w:tcW w:w="1276" w:type="dxa"/>
            <w:noWrap/>
            <w:hideMark/>
          </w:tcPr>
          <w:p w14:paraId="227C7C2B" w14:textId="77777777" w:rsidR="002E41E4" w:rsidRPr="009E0C66" w:rsidRDefault="002E41E4" w:rsidP="00D22545">
            <w:pPr>
              <w:spacing w:line="276" w:lineRule="auto"/>
              <w:rPr>
                <w:b/>
                <w:sz w:val="24"/>
                <w:szCs w:val="24"/>
              </w:rPr>
            </w:pPr>
            <w:r w:rsidRPr="009E0C66">
              <w:rPr>
                <w:b/>
                <w:sz w:val="24"/>
                <w:szCs w:val="24"/>
              </w:rPr>
              <w:t>0.14</w:t>
            </w:r>
          </w:p>
        </w:tc>
        <w:tc>
          <w:tcPr>
            <w:tcW w:w="1276" w:type="dxa"/>
            <w:noWrap/>
            <w:hideMark/>
          </w:tcPr>
          <w:p w14:paraId="1CB44734" w14:textId="77777777" w:rsidR="002E41E4" w:rsidRPr="009E0C66" w:rsidRDefault="002E41E4" w:rsidP="00D22545">
            <w:pPr>
              <w:spacing w:line="276" w:lineRule="auto"/>
              <w:rPr>
                <w:b/>
                <w:sz w:val="24"/>
                <w:szCs w:val="24"/>
              </w:rPr>
            </w:pPr>
            <w:r w:rsidRPr="009E0C66">
              <w:rPr>
                <w:b/>
                <w:sz w:val="24"/>
                <w:szCs w:val="24"/>
              </w:rPr>
              <w:t>6.2</w:t>
            </w:r>
          </w:p>
        </w:tc>
        <w:tc>
          <w:tcPr>
            <w:tcW w:w="1224" w:type="dxa"/>
            <w:noWrap/>
            <w:hideMark/>
          </w:tcPr>
          <w:p w14:paraId="4B1C579A" w14:textId="77777777" w:rsidR="002E41E4" w:rsidRPr="009E0C66" w:rsidRDefault="002E41E4" w:rsidP="00D22545">
            <w:pPr>
              <w:spacing w:line="276" w:lineRule="auto"/>
              <w:rPr>
                <w:b/>
                <w:sz w:val="24"/>
                <w:szCs w:val="24"/>
              </w:rPr>
            </w:pPr>
            <w:r w:rsidRPr="009E0C66">
              <w:rPr>
                <w:b/>
                <w:sz w:val="24"/>
                <w:szCs w:val="24"/>
              </w:rPr>
              <w:t>15.7</w:t>
            </w:r>
          </w:p>
        </w:tc>
      </w:tr>
      <w:tr w:rsidR="002E41E4" w:rsidRPr="009E0C66" w14:paraId="5F29B9E7" w14:textId="77777777" w:rsidTr="00F5732A">
        <w:trPr>
          <w:trHeight w:val="300"/>
        </w:trPr>
        <w:tc>
          <w:tcPr>
            <w:tcW w:w="1464" w:type="dxa"/>
          </w:tcPr>
          <w:p w14:paraId="1C9924E8" w14:textId="77777777" w:rsidR="002E41E4" w:rsidRPr="004C596F" w:rsidRDefault="002E41E4" w:rsidP="00D22545">
            <w:pPr>
              <w:spacing w:line="276" w:lineRule="auto"/>
              <w:rPr>
                <w:sz w:val="24"/>
                <w:szCs w:val="24"/>
              </w:rPr>
            </w:pPr>
            <w:r w:rsidRPr="004C596F">
              <w:rPr>
                <w:sz w:val="24"/>
                <w:szCs w:val="24"/>
              </w:rPr>
              <w:t>UK</w:t>
            </w:r>
          </w:p>
        </w:tc>
        <w:tc>
          <w:tcPr>
            <w:tcW w:w="1394" w:type="dxa"/>
            <w:noWrap/>
            <w:hideMark/>
          </w:tcPr>
          <w:p w14:paraId="3A29A0F6" w14:textId="77777777" w:rsidR="002E41E4" w:rsidRPr="004C596F" w:rsidRDefault="002E41E4" w:rsidP="00D22545">
            <w:pPr>
              <w:spacing w:line="276" w:lineRule="auto"/>
              <w:rPr>
                <w:sz w:val="24"/>
                <w:szCs w:val="24"/>
              </w:rPr>
            </w:pPr>
            <w:r w:rsidRPr="004C596F">
              <w:rPr>
                <w:sz w:val="24"/>
                <w:szCs w:val="24"/>
              </w:rPr>
              <w:t>62.2</w:t>
            </w:r>
          </w:p>
        </w:tc>
        <w:tc>
          <w:tcPr>
            <w:tcW w:w="1275" w:type="dxa"/>
            <w:noWrap/>
            <w:hideMark/>
          </w:tcPr>
          <w:p w14:paraId="6A10DE8C" w14:textId="77777777" w:rsidR="002E41E4" w:rsidRPr="004C596F" w:rsidRDefault="002E41E4" w:rsidP="00D22545">
            <w:pPr>
              <w:spacing w:line="276" w:lineRule="auto"/>
              <w:rPr>
                <w:sz w:val="24"/>
                <w:szCs w:val="24"/>
              </w:rPr>
            </w:pPr>
            <w:r w:rsidRPr="004C596F">
              <w:rPr>
                <w:sz w:val="24"/>
                <w:szCs w:val="24"/>
              </w:rPr>
              <w:t>0.84</w:t>
            </w:r>
          </w:p>
        </w:tc>
        <w:tc>
          <w:tcPr>
            <w:tcW w:w="1276" w:type="dxa"/>
            <w:noWrap/>
            <w:hideMark/>
          </w:tcPr>
          <w:p w14:paraId="24369141" w14:textId="77777777" w:rsidR="002E41E4" w:rsidRPr="004C596F" w:rsidRDefault="002E41E4" w:rsidP="00D22545">
            <w:pPr>
              <w:spacing w:line="276" w:lineRule="auto"/>
              <w:rPr>
                <w:sz w:val="24"/>
                <w:szCs w:val="24"/>
              </w:rPr>
            </w:pPr>
            <w:r w:rsidRPr="004C596F">
              <w:rPr>
                <w:sz w:val="24"/>
                <w:szCs w:val="24"/>
              </w:rPr>
              <w:t>0.63</w:t>
            </w:r>
          </w:p>
        </w:tc>
        <w:tc>
          <w:tcPr>
            <w:tcW w:w="1276" w:type="dxa"/>
            <w:noWrap/>
            <w:hideMark/>
          </w:tcPr>
          <w:p w14:paraId="5C6F2FC5" w14:textId="77777777" w:rsidR="002E41E4" w:rsidRPr="004C596F" w:rsidRDefault="002E41E4" w:rsidP="00D22545">
            <w:pPr>
              <w:spacing w:line="276" w:lineRule="auto"/>
              <w:rPr>
                <w:sz w:val="24"/>
                <w:szCs w:val="24"/>
              </w:rPr>
            </w:pPr>
            <w:r w:rsidRPr="004C596F">
              <w:rPr>
                <w:sz w:val="24"/>
                <w:szCs w:val="24"/>
              </w:rPr>
              <w:t>0.23</w:t>
            </w:r>
          </w:p>
        </w:tc>
        <w:tc>
          <w:tcPr>
            <w:tcW w:w="1276" w:type="dxa"/>
            <w:noWrap/>
            <w:hideMark/>
          </w:tcPr>
          <w:p w14:paraId="30888B82" w14:textId="77777777" w:rsidR="002E41E4" w:rsidRPr="004C596F" w:rsidRDefault="002E41E4" w:rsidP="00D22545">
            <w:pPr>
              <w:spacing w:line="276" w:lineRule="auto"/>
              <w:rPr>
                <w:sz w:val="24"/>
                <w:szCs w:val="24"/>
              </w:rPr>
            </w:pPr>
            <w:r w:rsidRPr="004C596F">
              <w:rPr>
                <w:sz w:val="24"/>
                <w:szCs w:val="24"/>
              </w:rPr>
              <w:t>6.6</w:t>
            </w:r>
          </w:p>
        </w:tc>
        <w:tc>
          <w:tcPr>
            <w:tcW w:w="1224" w:type="dxa"/>
            <w:noWrap/>
            <w:hideMark/>
          </w:tcPr>
          <w:p w14:paraId="015CC622" w14:textId="77777777" w:rsidR="002E41E4" w:rsidRPr="004C596F" w:rsidRDefault="002E41E4" w:rsidP="00D22545">
            <w:pPr>
              <w:spacing w:line="276" w:lineRule="auto"/>
              <w:rPr>
                <w:sz w:val="24"/>
                <w:szCs w:val="24"/>
              </w:rPr>
            </w:pPr>
            <w:r w:rsidRPr="004C596F">
              <w:rPr>
                <w:sz w:val="24"/>
                <w:szCs w:val="24"/>
              </w:rPr>
              <w:t>16.6</w:t>
            </w:r>
          </w:p>
        </w:tc>
      </w:tr>
    </w:tbl>
    <w:p w14:paraId="5ECDAB8F" w14:textId="77777777" w:rsidR="002E41E4" w:rsidRPr="002E41E4" w:rsidRDefault="002E41E4" w:rsidP="00D22545">
      <w:pPr>
        <w:spacing w:after="0"/>
        <w:rPr>
          <w:sz w:val="24"/>
          <w:szCs w:val="24"/>
        </w:rPr>
      </w:pPr>
      <w:r w:rsidRPr="002E41E4">
        <w:rPr>
          <w:sz w:val="24"/>
          <w:szCs w:val="24"/>
        </w:rPr>
        <w:t>Table 2: All industry productivity in the SCR                                                                Source: Experian REM</w:t>
      </w:r>
    </w:p>
    <w:p w14:paraId="7DD3A744" w14:textId="77777777" w:rsidR="004625CE" w:rsidRDefault="004625CE" w:rsidP="00D22545">
      <w:pPr>
        <w:spacing w:after="0"/>
        <w:rPr>
          <w:sz w:val="24"/>
          <w:szCs w:val="24"/>
        </w:rPr>
      </w:pPr>
    </w:p>
    <w:p w14:paraId="69EB9928" w14:textId="0D908F3C" w:rsidR="002E41E4" w:rsidRPr="002E41E4" w:rsidRDefault="002E41E4" w:rsidP="00D22545">
      <w:pPr>
        <w:spacing w:after="0"/>
        <w:rPr>
          <w:sz w:val="24"/>
          <w:szCs w:val="24"/>
        </w:rPr>
      </w:pPr>
      <w:r w:rsidRPr="002E41E4">
        <w:rPr>
          <w:sz w:val="24"/>
          <w:szCs w:val="24"/>
        </w:rPr>
        <w:t xml:space="preserve">As can be seen, productivity in the SCR is very low.  Although productivity growth since 2011 has been slightly above the national average level, this was driven by strong performance in the Derbyshire districts in SCR.  All four South Yorkshire districts have seen either stagnant or falling productivity since 2011, so funding to try to reverse this worrying trend is needed. </w:t>
      </w:r>
    </w:p>
    <w:p w14:paraId="48CDACAD" w14:textId="77777777" w:rsidR="00D22545" w:rsidRDefault="00D22545" w:rsidP="00D22545">
      <w:pPr>
        <w:spacing w:after="0"/>
        <w:rPr>
          <w:b/>
          <w:sz w:val="24"/>
          <w:szCs w:val="24"/>
        </w:rPr>
      </w:pPr>
    </w:p>
    <w:p w14:paraId="0E5F716B" w14:textId="7936DD1D" w:rsidR="002E41E4" w:rsidRPr="002E41E4" w:rsidRDefault="002E41E4" w:rsidP="00D22545">
      <w:pPr>
        <w:spacing w:after="0"/>
        <w:rPr>
          <w:b/>
          <w:sz w:val="24"/>
          <w:szCs w:val="24"/>
        </w:rPr>
      </w:pPr>
      <w:r w:rsidRPr="002E41E4">
        <w:rPr>
          <w:b/>
          <w:sz w:val="24"/>
          <w:szCs w:val="24"/>
        </w:rPr>
        <w:t>House Prices</w:t>
      </w:r>
    </w:p>
    <w:tbl>
      <w:tblPr>
        <w:tblStyle w:val="TableGrid"/>
        <w:tblW w:w="0" w:type="auto"/>
        <w:tblLook w:val="04A0" w:firstRow="1" w:lastRow="0" w:firstColumn="1" w:lastColumn="0" w:noHBand="0" w:noVBand="1"/>
      </w:tblPr>
      <w:tblGrid>
        <w:gridCol w:w="1955"/>
        <w:gridCol w:w="1555"/>
        <w:gridCol w:w="1389"/>
        <w:gridCol w:w="1388"/>
        <w:gridCol w:w="1389"/>
        <w:gridCol w:w="1340"/>
      </w:tblGrid>
      <w:tr w:rsidR="002E41E4" w:rsidRPr="009E0C66" w14:paraId="19809C33" w14:textId="77777777" w:rsidTr="00F5732A">
        <w:tc>
          <w:tcPr>
            <w:tcW w:w="1955" w:type="dxa"/>
          </w:tcPr>
          <w:p w14:paraId="7E8EE032" w14:textId="77777777" w:rsidR="002E41E4" w:rsidRPr="009E0C66" w:rsidRDefault="002E41E4" w:rsidP="00D22545">
            <w:pPr>
              <w:spacing w:line="276" w:lineRule="auto"/>
              <w:rPr>
                <w:sz w:val="24"/>
                <w:szCs w:val="24"/>
              </w:rPr>
            </w:pPr>
            <w:r w:rsidRPr="009E0C66">
              <w:rPr>
                <w:sz w:val="24"/>
                <w:szCs w:val="24"/>
              </w:rPr>
              <w:t>Area</w:t>
            </w:r>
          </w:p>
        </w:tc>
        <w:tc>
          <w:tcPr>
            <w:tcW w:w="1555" w:type="dxa"/>
          </w:tcPr>
          <w:p w14:paraId="4A3BE58F" w14:textId="77777777" w:rsidR="002E41E4" w:rsidRPr="009E0C66" w:rsidRDefault="002E41E4" w:rsidP="00D22545">
            <w:pPr>
              <w:spacing w:line="276" w:lineRule="auto"/>
              <w:rPr>
                <w:sz w:val="24"/>
                <w:szCs w:val="24"/>
              </w:rPr>
            </w:pPr>
            <w:r w:rsidRPr="009E0C66">
              <w:rPr>
                <w:sz w:val="24"/>
                <w:szCs w:val="24"/>
              </w:rPr>
              <w:t>2017 median price £</w:t>
            </w:r>
          </w:p>
        </w:tc>
        <w:tc>
          <w:tcPr>
            <w:tcW w:w="1389" w:type="dxa"/>
          </w:tcPr>
          <w:p w14:paraId="76E2817A" w14:textId="77777777" w:rsidR="002E41E4" w:rsidRPr="009E0C66" w:rsidRDefault="002E41E4" w:rsidP="00D22545">
            <w:pPr>
              <w:spacing w:line="276" w:lineRule="auto"/>
              <w:rPr>
                <w:sz w:val="24"/>
                <w:szCs w:val="24"/>
              </w:rPr>
            </w:pPr>
            <w:r w:rsidRPr="009E0C66">
              <w:rPr>
                <w:sz w:val="24"/>
                <w:szCs w:val="24"/>
              </w:rPr>
              <w:t>20-year growth %</w:t>
            </w:r>
          </w:p>
        </w:tc>
        <w:tc>
          <w:tcPr>
            <w:tcW w:w="1388" w:type="dxa"/>
          </w:tcPr>
          <w:p w14:paraId="6A8E200D" w14:textId="77777777" w:rsidR="002E41E4" w:rsidRPr="009E0C66" w:rsidRDefault="002E41E4" w:rsidP="00D22545">
            <w:pPr>
              <w:spacing w:line="276" w:lineRule="auto"/>
              <w:rPr>
                <w:sz w:val="24"/>
                <w:szCs w:val="24"/>
              </w:rPr>
            </w:pPr>
            <w:r w:rsidRPr="009E0C66">
              <w:rPr>
                <w:sz w:val="24"/>
                <w:szCs w:val="24"/>
              </w:rPr>
              <w:t>10-year growth</w:t>
            </w:r>
          </w:p>
        </w:tc>
        <w:tc>
          <w:tcPr>
            <w:tcW w:w="1389" w:type="dxa"/>
          </w:tcPr>
          <w:p w14:paraId="697080F1" w14:textId="77777777" w:rsidR="002E41E4" w:rsidRPr="009E0C66" w:rsidRDefault="002E41E4" w:rsidP="00D22545">
            <w:pPr>
              <w:spacing w:line="276" w:lineRule="auto"/>
              <w:rPr>
                <w:sz w:val="24"/>
                <w:szCs w:val="24"/>
              </w:rPr>
            </w:pPr>
            <w:r w:rsidRPr="009E0C66">
              <w:rPr>
                <w:sz w:val="24"/>
                <w:szCs w:val="24"/>
              </w:rPr>
              <w:t>5-year growth</w:t>
            </w:r>
          </w:p>
        </w:tc>
        <w:tc>
          <w:tcPr>
            <w:tcW w:w="1340" w:type="dxa"/>
          </w:tcPr>
          <w:p w14:paraId="1C0F7ECF" w14:textId="77777777" w:rsidR="002E41E4" w:rsidRPr="009E0C66" w:rsidRDefault="002E41E4" w:rsidP="00D22545">
            <w:pPr>
              <w:spacing w:line="276" w:lineRule="auto"/>
              <w:rPr>
                <w:sz w:val="24"/>
                <w:szCs w:val="24"/>
              </w:rPr>
            </w:pPr>
            <w:r w:rsidRPr="009E0C66">
              <w:rPr>
                <w:sz w:val="24"/>
                <w:szCs w:val="24"/>
              </w:rPr>
              <w:t>1-year growth</w:t>
            </w:r>
          </w:p>
        </w:tc>
      </w:tr>
      <w:tr w:rsidR="002E41E4" w:rsidRPr="009E0C66" w14:paraId="30D2EFAC" w14:textId="77777777" w:rsidTr="00F5732A">
        <w:tc>
          <w:tcPr>
            <w:tcW w:w="1955" w:type="dxa"/>
          </w:tcPr>
          <w:p w14:paraId="75F51190" w14:textId="77777777" w:rsidR="002E41E4" w:rsidRPr="009E0C66" w:rsidRDefault="002E41E4" w:rsidP="00D22545">
            <w:pPr>
              <w:spacing w:line="276" w:lineRule="auto"/>
              <w:rPr>
                <w:b/>
                <w:sz w:val="24"/>
                <w:szCs w:val="24"/>
              </w:rPr>
            </w:pPr>
            <w:r>
              <w:rPr>
                <w:b/>
                <w:sz w:val="24"/>
                <w:szCs w:val="24"/>
              </w:rPr>
              <w:t>SCR</w:t>
            </w:r>
            <w:r w:rsidRPr="009E0C66">
              <w:rPr>
                <w:b/>
                <w:sz w:val="24"/>
                <w:szCs w:val="24"/>
              </w:rPr>
              <w:t xml:space="preserve"> </w:t>
            </w:r>
          </w:p>
        </w:tc>
        <w:tc>
          <w:tcPr>
            <w:tcW w:w="1555" w:type="dxa"/>
          </w:tcPr>
          <w:p w14:paraId="55AFB4A0" w14:textId="77777777" w:rsidR="002E41E4" w:rsidRPr="009E0C66" w:rsidRDefault="002E41E4" w:rsidP="00D22545">
            <w:pPr>
              <w:spacing w:line="276" w:lineRule="auto"/>
              <w:rPr>
                <w:b/>
                <w:sz w:val="24"/>
                <w:szCs w:val="24"/>
              </w:rPr>
            </w:pPr>
            <w:r w:rsidRPr="009E0C66">
              <w:rPr>
                <w:b/>
                <w:sz w:val="24"/>
                <w:szCs w:val="24"/>
              </w:rPr>
              <w:t>135000</w:t>
            </w:r>
          </w:p>
        </w:tc>
        <w:tc>
          <w:tcPr>
            <w:tcW w:w="1389" w:type="dxa"/>
          </w:tcPr>
          <w:p w14:paraId="50B14CF1" w14:textId="77777777" w:rsidR="002E41E4" w:rsidRPr="009E0C66" w:rsidRDefault="002E41E4" w:rsidP="00D22545">
            <w:pPr>
              <w:spacing w:line="276" w:lineRule="auto"/>
              <w:rPr>
                <w:b/>
                <w:sz w:val="24"/>
                <w:szCs w:val="24"/>
              </w:rPr>
            </w:pPr>
            <w:r w:rsidRPr="009E0C66">
              <w:rPr>
                <w:b/>
                <w:sz w:val="24"/>
                <w:szCs w:val="24"/>
              </w:rPr>
              <w:t>210</w:t>
            </w:r>
          </w:p>
        </w:tc>
        <w:tc>
          <w:tcPr>
            <w:tcW w:w="1388" w:type="dxa"/>
          </w:tcPr>
          <w:p w14:paraId="3CE1AC31" w14:textId="77777777" w:rsidR="002E41E4" w:rsidRPr="009E0C66" w:rsidRDefault="002E41E4" w:rsidP="00D22545">
            <w:pPr>
              <w:spacing w:line="276" w:lineRule="auto"/>
              <w:rPr>
                <w:b/>
                <w:sz w:val="24"/>
                <w:szCs w:val="24"/>
              </w:rPr>
            </w:pPr>
            <w:r w:rsidRPr="009E0C66">
              <w:rPr>
                <w:b/>
                <w:sz w:val="24"/>
                <w:szCs w:val="24"/>
              </w:rPr>
              <w:t>8.9</w:t>
            </w:r>
          </w:p>
        </w:tc>
        <w:tc>
          <w:tcPr>
            <w:tcW w:w="1389" w:type="dxa"/>
          </w:tcPr>
          <w:p w14:paraId="3897AA32" w14:textId="77777777" w:rsidR="002E41E4" w:rsidRPr="009E0C66" w:rsidRDefault="002E41E4" w:rsidP="00D22545">
            <w:pPr>
              <w:spacing w:line="276" w:lineRule="auto"/>
              <w:rPr>
                <w:b/>
                <w:sz w:val="24"/>
                <w:szCs w:val="24"/>
              </w:rPr>
            </w:pPr>
            <w:r w:rsidRPr="009E0C66">
              <w:rPr>
                <w:b/>
                <w:sz w:val="24"/>
                <w:szCs w:val="24"/>
              </w:rPr>
              <w:t>14.9</w:t>
            </w:r>
          </w:p>
        </w:tc>
        <w:tc>
          <w:tcPr>
            <w:tcW w:w="1340" w:type="dxa"/>
          </w:tcPr>
          <w:p w14:paraId="2D690433" w14:textId="77777777" w:rsidR="002E41E4" w:rsidRPr="009E0C66" w:rsidRDefault="002E41E4" w:rsidP="00D22545">
            <w:pPr>
              <w:spacing w:line="276" w:lineRule="auto"/>
              <w:rPr>
                <w:b/>
                <w:sz w:val="24"/>
                <w:szCs w:val="24"/>
              </w:rPr>
            </w:pPr>
            <w:r w:rsidRPr="009E0C66">
              <w:rPr>
                <w:b/>
                <w:sz w:val="24"/>
                <w:szCs w:val="24"/>
              </w:rPr>
              <w:t>2.3</w:t>
            </w:r>
          </w:p>
        </w:tc>
      </w:tr>
      <w:tr w:rsidR="002E41E4" w:rsidRPr="009E0C66" w14:paraId="22D4BFE3" w14:textId="77777777" w:rsidTr="00F5732A">
        <w:tc>
          <w:tcPr>
            <w:tcW w:w="1955" w:type="dxa"/>
          </w:tcPr>
          <w:p w14:paraId="2741567A" w14:textId="77777777" w:rsidR="002E41E4" w:rsidRPr="009E0C66" w:rsidRDefault="002E41E4" w:rsidP="00D22545">
            <w:pPr>
              <w:spacing w:line="276" w:lineRule="auto"/>
              <w:rPr>
                <w:sz w:val="24"/>
                <w:szCs w:val="24"/>
              </w:rPr>
            </w:pPr>
            <w:r>
              <w:rPr>
                <w:sz w:val="24"/>
                <w:szCs w:val="24"/>
              </w:rPr>
              <w:t xml:space="preserve">Greater </w:t>
            </w:r>
            <w:r w:rsidRPr="009E0C66">
              <w:rPr>
                <w:sz w:val="24"/>
                <w:szCs w:val="24"/>
              </w:rPr>
              <w:t>Manchester</w:t>
            </w:r>
          </w:p>
        </w:tc>
        <w:tc>
          <w:tcPr>
            <w:tcW w:w="1555" w:type="dxa"/>
          </w:tcPr>
          <w:p w14:paraId="109F5A9E" w14:textId="77777777" w:rsidR="002E41E4" w:rsidRPr="009E0C66" w:rsidRDefault="002E41E4" w:rsidP="00D22545">
            <w:pPr>
              <w:spacing w:line="276" w:lineRule="auto"/>
              <w:rPr>
                <w:sz w:val="24"/>
                <w:szCs w:val="24"/>
              </w:rPr>
            </w:pPr>
            <w:r w:rsidRPr="009E0C66">
              <w:rPr>
                <w:sz w:val="24"/>
                <w:szCs w:val="24"/>
              </w:rPr>
              <w:t>155995</w:t>
            </w:r>
          </w:p>
        </w:tc>
        <w:tc>
          <w:tcPr>
            <w:tcW w:w="1389" w:type="dxa"/>
          </w:tcPr>
          <w:p w14:paraId="4C642023" w14:textId="77777777" w:rsidR="002E41E4" w:rsidRPr="009E0C66" w:rsidRDefault="002E41E4" w:rsidP="00D22545">
            <w:pPr>
              <w:spacing w:line="276" w:lineRule="auto"/>
              <w:rPr>
                <w:sz w:val="24"/>
                <w:szCs w:val="24"/>
              </w:rPr>
            </w:pPr>
            <w:r w:rsidRPr="009E0C66">
              <w:rPr>
                <w:sz w:val="24"/>
                <w:szCs w:val="24"/>
              </w:rPr>
              <w:t>232</w:t>
            </w:r>
          </w:p>
        </w:tc>
        <w:tc>
          <w:tcPr>
            <w:tcW w:w="1388" w:type="dxa"/>
          </w:tcPr>
          <w:p w14:paraId="3831B628" w14:textId="77777777" w:rsidR="002E41E4" w:rsidRPr="009E0C66" w:rsidRDefault="002E41E4" w:rsidP="00D22545">
            <w:pPr>
              <w:spacing w:line="276" w:lineRule="auto"/>
              <w:rPr>
                <w:sz w:val="24"/>
                <w:szCs w:val="24"/>
              </w:rPr>
            </w:pPr>
            <w:r w:rsidRPr="009E0C66">
              <w:rPr>
                <w:sz w:val="24"/>
                <w:szCs w:val="24"/>
              </w:rPr>
              <w:t>17.7</w:t>
            </w:r>
          </w:p>
        </w:tc>
        <w:tc>
          <w:tcPr>
            <w:tcW w:w="1389" w:type="dxa"/>
          </w:tcPr>
          <w:p w14:paraId="6625F565" w14:textId="77777777" w:rsidR="002E41E4" w:rsidRPr="009E0C66" w:rsidRDefault="002E41E4" w:rsidP="00D22545">
            <w:pPr>
              <w:spacing w:line="276" w:lineRule="auto"/>
              <w:rPr>
                <w:sz w:val="24"/>
                <w:szCs w:val="24"/>
              </w:rPr>
            </w:pPr>
            <w:r w:rsidRPr="009E0C66">
              <w:rPr>
                <w:sz w:val="24"/>
                <w:szCs w:val="24"/>
              </w:rPr>
              <w:t>24.8</w:t>
            </w:r>
          </w:p>
        </w:tc>
        <w:tc>
          <w:tcPr>
            <w:tcW w:w="1340" w:type="dxa"/>
          </w:tcPr>
          <w:p w14:paraId="59440DDD" w14:textId="77777777" w:rsidR="002E41E4" w:rsidRPr="009E0C66" w:rsidRDefault="002E41E4" w:rsidP="00D22545">
            <w:pPr>
              <w:spacing w:line="276" w:lineRule="auto"/>
              <w:rPr>
                <w:sz w:val="24"/>
                <w:szCs w:val="24"/>
              </w:rPr>
            </w:pPr>
            <w:r w:rsidRPr="009E0C66">
              <w:rPr>
                <w:sz w:val="24"/>
                <w:szCs w:val="24"/>
              </w:rPr>
              <w:t>5.0</w:t>
            </w:r>
          </w:p>
        </w:tc>
      </w:tr>
      <w:tr w:rsidR="002E41E4" w:rsidRPr="009E0C66" w14:paraId="4B1E86C1" w14:textId="77777777" w:rsidTr="00F5732A">
        <w:tc>
          <w:tcPr>
            <w:tcW w:w="1955" w:type="dxa"/>
          </w:tcPr>
          <w:p w14:paraId="56D230D2" w14:textId="77777777" w:rsidR="002E41E4" w:rsidRPr="009E0C66" w:rsidRDefault="002E41E4" w:rsidP="00D22545">
            <w:pPr>
              <w:spacing w:line="276" w:lineRule="auto"/>
              <w:rPr>
                <w:sz w:val="24"/>
                <w:szCs w:val="24"/>
              </w:rPr>
            </w:pPr>
            <w:r w:rsidRPr="009E0C66">
              <w:rPr>
                <w:sz w:val="24"/>
                <w:szCs w:val="24"/>
              </w:rPr>
              <w:t>West Yorkshire</w:t>
            </w:r>
          </w:p>
        </w:tc>
        <w:tc>
          <w:tcPr>
            <w:tcW w:w="1555" w:type="dxa"/>
          </w:tcPr>
          <w:p w14:paraId="58A7BB75" w14:textId="77777777" w:rsidR="002E41E4" w:rsidRPr="009E0C66" w:rsidRDefault="002E41E4" w:rsidP="00D22545">
            <w:pPr>
              <w:spacing w:line="276" w:lineRule="auto"/>
              <w:rPr>
                <w:sz w:val="24"/>
                <w:szCs w:val="24"/>
              </w:rPr>
            </w:pPr>
            <w:r w:rsidRPr="009E0C66">
              <w:rPr>
                <w:sz w:val="24"/>
                <w:szCs w:val="24"/>
              </w:rPr>
              <w:t>150000</w:t>
            </w:r>
          </w:p>
        </w:tc>
        <w:tc>
          <w:tcPr>
            <w:tcW w:w="1389" w:type="dxa"/>
          </w:tcPr>
          <w:p w14:paraId="35CF692C" w14:textId="77777777" w:rsidR="002E41E4" w:rsidRPr="009E0C66" w:rsidRDefault="002E41E4" w:rsidP="00D22545">
            <w:pPr>
              <w:spacing w:line="276" w:lineRule="auto"/>
              <w:rPr>
                <w:sz w:val="24"/>
                <w:szCs w:val="24"/>
              </w:rPr>
            </w:pPr>
            <w:r w:rsidRPr="009E0C66">
              <w:rPr>
                <w:sz w:val="24"/>
                <w:szCs w:val="24"/>
              </w:rPr>
              <w:t>211</w:t>
            </w:r>
          </w:p>
        </w:tc>
        <w:tc>
          <w:tcPr>
            <w:tcW w:w="1388" w:type="dxa"/>
          </w:tcPr>
          <w:p w14:paraId="71028583" w14:textId="77777777" w:rsidR="002E41E4" w:rsidRPr="009E0C66" w:rsidRDefault="002E41E4" w:rsidP="00D22545">
            <w:pPr>
              <w:spacing w:line="276" w:lineRule="auto"/>
              <w:rPr>
                <w:sz w:val="24"/>
                <w:szCs w:val="24"/>
              </w:rPr>
            </w:pPr>
            <w:r w:rsidRPr="009E0C66">
              <w:rPr>
                <w:sz w:val="24"/>
                <w:szCs w:val="24"/>
              </w:rPr>
              <w:t>11.1</w:t>
            </w:r>
          </w:p>
        </w:tc>
        <w:tc>
          <w:tcPr>
            <w:tcW w:w="1389" w:type="dxa"/>
          </w:tcPr>
          <w:p w14:paraId="08C8EC34" w14:textId="77777777" w:rsidR="002E41E4" w:rsidRPr="009E0C66" w:rsidRDefault="002E41E4" w:rsidP="00D22545">
            <w:pPr>
              <w:spacing w:line="276" w:lineRule="auto"/>
              <w:rPr>
                <w:sz w:val="24"/>
                <w:szCs w:val="24"/>
              </w:rPr>
            </w:pPr>
            <w:r w:rsidRPr="009E0C66">
              <w:rPr>
                <w:sz w:val="24"/>
                <w:szCs w:val="24"/>
              </w:rPr>
              <w:t>20.0</w:t>
            </w:r>
          </w:p>
        </w:tc>
        <w:tc>
          <w:tcPr>
            <w:tcW w:w="1340" w:type="dxa"/>
          </w:tcPr>
          <w:p w14:paraId="1F1A32E0" w14:textId="77777777" w:rsidR="002E41E4" w:rsidRPr="009E0C66" w:rsidRDefault="002E41E4" w:rsidP="00D22545">
            <w:pPr>
              <w:spacing w:line="276" w:lineRule="auto"/>
              <w:rPr>
                <w:sz w:val="24"/>
                <w:szCs w:val="24"/>
              </w:rPr>
            </w:pPr>
            <w:r w:rsidRPr="009E0C66">
              <w:rPr>
                <w:sz w:val="24"/>
                <w:szCs w:val="24"/>
              </w:rPr>
              <w:t>3.4</w:t>
            </w:r>
          </w:p>
        </w:tc>
      </w:tr>
      <w:tr w:rsidR="002E41E4" w:rsidRPr="009E0C66" w14:paraId="472D05C2" w14:textId="77777777" w:rsidTr="00F5732A">
        <w:tc>
          <w:tcPr>
            <w:tcW w:w="1955" w:type="dxa"/>
          </w:tcPr>
          <w:p w14:paraId="6D24699C" w14:textId="77777777" w:rsidR="002E41E4" w:rsidRPr="009E0C66" w:rsidRDefault="002E41E4" w:rsidP="00D22545">
            <w:pPr>
              <w:spacing w:line="276" w:lineRule="auto"/>
              <w:rPr>
                <w:sz w:val="24"/>
                <w:szCs w:val="24"/>
              </w:rPr>
            </w:pPr>
            <w:proofErr w:type="spellStart"/>
            <w:r w:rsidRPr="009E0C66">
              <w:rPr>
                <w:sz w:val="24"/>
                <w:szCs w:val="24"/>
              </w:rPr>
              <w:t>Yorks</w:t>
            </w:r>
            <w:proofErr w:type="spellEnd"/>
            <w:r w:rsidRPr="009E0C66">
              <w:rPr>
                <w:sz w:val="24"/>
                <w:szCs w:val="24"/>
              </w:rPr>
              <w:t>/Humber</w:t>
            </w:r>
          </w:p>
        </w:tc>
        <w:tc>
          <w:tcPr>
            <w:tcW w:w="1555" w:type="dxa"/>
          </w:tcPr>
          <w:p w14:paraId="28F47B29" w14:textId="77777777" w:rsidR="002E41E4" w:rsidRPr="009E0C66" w:rsidRDefault="002E41E4" w:rsidP="00D22545">
            <w:pPr>
              <w:spacing w:line="276" w:lineRule="auto"/>
              <w:rPr>
                <w:sz w:val="24"/>
                <w:szCs w:val="24"/>
              </w:rPr>
            </w:pPr>
            <w:r w:rsidRPr="009E0C66">
              <w:rPr>
                <w:sz w:val="24"/>
                <w:szCs w:val="24"/>
              </w:rPr>
              <w:t>155000</w:t>
            </w:r>
          </w:p>
        </w:tc>
        <w:tc>
          <w:tcPr>
            <w:tcW w:w="1389" w:type="dxa"/>
          </w:tcPr>
          <w:p w14:paraId="4625A68A" w14:textId="77777777" w:rsidR="002E41E4" w:rsidRPr="009E0C66" w:rsidRDefault="002E41E4" w:rsidP="00D22545">
            <w:pPr>
              <w:spacing w:line="276" w:lineRule="auto"/>
              <w:rPr>
                <w:sz w:val="24"/>
                <w:szCs w:val="24"/>
              </w:rPr>
            </w:pPr>
            <w:r w:rsidRPr="009E0C66">
              <w:rPr>
                <w:sz w:val="24"/>
                <w:szCs w:val="24"/>
              </w:rPr>
              <w:t>220</w:t>
            </w:r>
          </w:p>
        </w:tc>
        <w:tc>
          <w:tcPr>
            <w:tcW w:w="1388" w:type="dxa"/>
          </w:tcPr>
          <w:p w14:paraId="2D72E363" w14:textId="77777777" w:rsidR="002E41E4" w:rsidRPr="009E0C66" w:rsidRDefault="002E41E4" w:rsidP="00D22545">
            <w:pPr>
              <w:spacing w:line="276" w:lineRule="auto"/>
              <w:rPr>
                <w:sz w:val="24"/>
                <w:szCs w:val="24"/>
              </w:rPr>
            </w:pPr>
            <w:r w:rsidRPr="009E0C66">
              <w:rPr>
                <w:sz w:val="24"/>
                <w:szCs w:val="24"/>
              </w:rPr>
              <w:t>15.3</w:t>
            </w:r>
          </w:p>
        </w:tc>
        <w:tc>
          <w:tcPr>
            <w:tcW w:w="1389" w:type="dxa"/>
          </w:tcPr>
          <w:p w14:paraId="2B8A0BFB" w14:textId="77777777" w:rsidR="002E41E4" w:rsidRPr="009E0C66" w:rsidRDefault="002E41E4" w:rsidP="00D22545">
            <w:pPr>
              <w:spacing w:line="276" w:lineRule="auto"/>
              <w:rPr>
                <w:sz w:val="24"/>
                <w:szCs w:val="24"/>
              </w:rPr>
            </w:pPr>
            <w:r w:rsidRPr="009E0C66">
              <w:rPr>
                <w:sz w:val="24"/>
                <w:szCs w:val="24"/>
              </w:rPr>
              <w:t>19.2</w:t>
            </w:r>
          </w:p>
        </w:tc>
        <w:tc>
          <w:tcPr>
            <w:tcW w:w="1340" w:type="dxa"/>
          </w:tcPr>
          <w:p w14:paraId="69FA6CCE" w14:textId="77777777" w:rsidR="002E41E4" w:rsidRPr="009E0C66" w:rsidRDefault="002E41E4" w:rsidP="00D22545">
            <w:pPr>
              <w:spacing w:line="276" w:lineRule="auto"/>
              <w:rPr>
                <w:sz w:val="24"/>
                <w:szCs w:val="24"/>
              </w:rPr>
            </w:pPr>
            <w:r w:rsidRPr="009E0C66">
              <w:rPr>
                <w:sz w:val="24"/>
                <w:szCs w:val="24"/>
              </w:rPr>
              <w:t>3.4</w:t>
            </w:r>
          </w:p>
        </w:tc>
      </w:tr>
      <w:tr w:rsidR="002E41E4" w:rsidRPr="009E0C66" w14:paraId="7597A523" w14:textId="77777777" w:rsidTr="00F5732A">
        <w:tc>
          <w:tcPr>
            <w:tcW w:w="1955" w:type="dxa"/>
          </w:tcPr>
          <w:p w14:paraId="2542C509" w14:textId="77777777" w:rsidR="002E41E4" w:rsidRPr="009E0C66" w:rsidRDefault="002E41E4" w:rsidP="00D22545">
            <w:pPr>
              <w:spacing w:line="276" w:lineRule="auto"/>
              <w:rPr>
                <w:sz w:val="24"/>
                <w:szCs w:val="24"/>
              </w:rPr>
            </w:pPr>
            <w:r w:rsidRPr="004C596F">
              <w:rPr>
                <w:sz w:val="24"/>
                <w:szCs w:val="24"/>
              </w:rPr>
              <w:t>England</w:t>
            </w:r>
          </w:p>
        </w:tc>
        <w:tc>
          <w:tcPr>
            <w:tcW w:w="1555" w:type="dxa"/>
          </w:tcPr>
          <w:p w14:paraId="0D8DB0C8" w14:textId="77777777" w:rsidR="002E41E4" w:rsidRPr="009E0C66" w:rsidRDefault="002E41E4" w:rsidP="00D22545">
            <w:pPr>
              <w:spacing w:line="276" w:lineRule="auto"/>
              <w:rPr>
                <w:sz w:val="24"/>
                <w:szCs w:val="24"/>
              </w:rPr>
            </w:pPr>
            <w:r w:rsidRPr="004C596F">
              <w:rPr>
                <w:sz w:val="24"/>
                <w:szCs w:val="24"/>
              </w:rPr>
              <w:t>230000</w:t>
            </w:r>
          </w:p>
        </w:tc>
        <w:tc>
          <w:tcPr>
            <w:tcW w:w="1389" w:type="dxa"/>
          </w:tcPr>
          <w:p w14:paraId="0FC39937" w14:textId="77777777" w:rsidR="002E41E4" w:rsidRPr="009E0C66" w:rsidRDefault="002E41E4" w:rsidP="00D22545">
            <w:pPr>
              <w:spacing w:line="276" w:lineRule="auto"/>
              <w:rPr>
                <w:sz w:val="24"/>
                <w:szCs w:val="24"/>
              </w:rPr>
            </w:pPr>
            <w:r w:rsidRPr="004C596F">
              <w:rPr>
                <w:sz w:val="24"/>
                <w:szCs w:val="24"/>
              </w:rPr>
              <w:t>283</w:t>
            </w:r>
          </w:p>
        </w:tc>
        <w:tc>
          <w:tcPr>
            <w:tcW w:w="1388" w:type="dxa"/>
          </w:tcPr>
          <w:p w14:paraId="5DD97B11" w14:textId="77777777" w:rsidR="002E41E4" w:rsidRPr="009E0C66" w:rsidRDefault="002E41E4" w:rsidP="00D22545">
            <w:pPr>
              <w:spacing w:line="276" w:lineRule="auto"/>
              <w:rPr>
                <w:sz w:val="24"/>
                <w:szCs w:val="24"/>
              </w:rPr>
            </w:pPr>
            <w:r w:rsidRPr="004C596F">
              <w:rPr>
                <w:sz w:val="24"/>
                <w:szCs w:val="24"/>
              </w:rPr>
              <w:t>31.4</w:t>
            </w:r>
          </w:p>
        </w:tc>
        <w:tc>
          <w:tcPr>
            <w:tcW w:w="1389" w:type="dxa"/>
          </w:tcPr>
          <w:p w14:paraId="7B531BD4" w14:textId="77777777" w:rsidR="002E41E4" w:rsidRPr="009E0C66" w:rsidRDefault="002E41E4" w:rsidP="00D22545">
            <w:pPr>
              <w:spacing w:line="276" w:lineRule="auto"/>
              <w:rPr>
                <w:sz w:val="24"/>
                <w:szCs w:val="24"/>
              </w:rPr>
            </w:pPr>
            <w:r w:rsidRPr="004C596F">
              <w:rPr>
                <w:sz w:val="24"/>
                <w:szCs w:val="24"/>
              </w:rPr>
              <w:t>26.7</w:t>
            </w:r>
          </w:p>
        </w:tc>
        <w:tc>
          <w:tcPr>
            <w:tcW w:w="1340" w:type="dxa"/>
          </w:tcPr>
          <w:p w14:paraId="3E5FA05B" w14:textId="77777777" w:rsidR="002E41E4" w:rsidRPr="009E0C66" w:rsidRDefault="002E41E4" w:rsidP="00D22545">
            <w:pPr>
              <w:spacing w:line="276" w:lineRule="auto"/>
              <w:rPr>
                <w:sz w:val="24"/>
                <w:szCs w:val="24"/>
              </w:rPr>
            </w:pPr>
            <w:r w:rsidRPr="004C596F">
              <w:rPr>
                <w:sz w:val="24"/>
                <w:szCs w:val="24"/>
              </w:rPr>
              <w:t>4.5</w:t>
            </w:r>
          </w:p>
        </w:tc>
      </w:tr>
    </w:tbl>
    <w:p w14:paraId="55A72700" w14:textId="77777777" w:rsidR="002E41E4" w:rsidRPr="002E41E4" w:rsidRDefault="002E41E4" w:rsidP="00D22545">
      <w:pPr>
        <w:spacing w:after="0"/>
        <w:rPr>
          <w:sz w:val="24"/>
          <w:szCs w:val="24"/>
        </w:rPr>
      </w:pPr>
      <w:r w:rsidRPr="002E41E4">
        <w:rPr>
          <w:sz w:val="24"/>
          <w:szCs w:val="24"/>
        </w:rPr>
        <w:t>Table 3: Comparison of regional house price growth over 20 years.                                       Source: ONS</w:t>
      </w:r>
    </w:p>
    <w:p w14:paraId="0A82C19D" w14:textId="77777777" w:rsidR="004625CE" w:rsidRDefault="004625CE" w:rsidP="00D22545">
      <w:pPr>
        <w:spacing w:after="0"/>
        <w:rPr>
          <w:sz w:val="24"/>
          <w:szCs w:val="24"/>
        </w:rPr>
      </w:pPr>
    </w:p>
    <w:p w14:paraId="2D8CB354" w14:textId="3BC4DDEE" w:rsidR="00A01281" w:rsidRPr="002E41E4" w:rsidRDefault="002E41E4" w:rsidP="00D22545">
      <w:pPr>
        <w:spacing w:after="0"/>
        <w:rPr>
          <w:rFonts w:cstheme="minorHAnsi"/>
        </w:rPr>
      </w:pPr>
      <w:r w:rsidRPr="002E41E4">
        <w:rPr>
          <w:sz w:val="24"/>
          <w:szCs w:val="24"/>
        </w:rPr>
        <w:t>House prices are also very low in the SCR with prices considerably below the national average but also other similar LEPs and growth has been low in recent years too. Although low house prices are positive in terms of affordability, they are indicative of an area that has low demand for homes due to poor economic performance, so are really an indicator of an area that needs support.</w:t>
      </w:r>
    </w:p>
    <w:p w14:paraId="0465D11C" w14:textId="164EC8B3" w:rsidR="009A5652" w:rsidRDefault="009A5652" w:rsidP="009A565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6016321" wp14:editId="6AC9D3CD">
                <wp:simplePos x="0" y="0"/>
                <wp:positionH relativeFrom="column">
                  <wp:posOffset>1905</wp:posOffset>
                </wp:positionH>
                <wp:positionV relativeFrom="paragraph">
                  <wp:posOffset>72390</wp:posOffset>
                </wp:positionV>
                <wp:extent cx="6505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05575"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2A4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7pt" to="512.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" strokecolor="#799c4b [3215]" strokeweight="1.5pt"/>
            </w:pict>
          </mc:Fallback>
        </mc:AlternateContent>
      </w:r>
    </w:p>
    <w:p w14:paraId="16791F30" w14:textId="31D8BC99" w:rsidR="009A5652" w:rsidRPr="009539F6" w:rsidRDefault="009539F6" w:rsidP="009A5652">
      <w:r w:rsidRPr="009539F6">
        <w:t>September</w:t>
      </w:r>
      <w:r w:rsidR="009A5652" w:rsidRPr="009539F6">
        <w:t xml:space="preserve"> 2018</w:t>
      </w:r>
    </w:p>
    <w:p w14:paraId="3FAE3686" w14:textId="56E1F231" w:rsidR="009A5652" w:rsidRPr="003A3663" w:rsidRDefault="009A5652" w:rsidP="009A5652">
      <w:pPr>
        <w:rPr>
          <w:b/>
        </w:rPr>
      </w:pPr>
      <w:r w:rsidRPr="003A3663">
        <w:rPr>
          <w:b/>
        </w:rPr>
        <w:t>Sheffield City Region Executive Team</w:t>
      </w:r>
    </w:p>
    <w:p w14:paraId="196E9477" w14:textId="3611CAF3" w:rsidR="009A5652" w:rsidRPr="003A3663" w:rsidRDefault="009A5652" w:rsidP="009A5652">
      <w:r w:rsidRPr="003A3663">
        <w:t>11 Broad Street West, Sheffield, S1 2BQ</w:t>
      </w:r>
    </w:p>
    <w:p w14:paraId="371500B0" w14:textId="656F8913" w:rsidR="00B5360C" w:rsidRPr="00D22545" w:rsidRDefault="009A5652" w:rsidP="00744615">
      <w:r w:rsidRPr="003A3663">
        <w:t xml:space="preserve">Telephone: 0114 220 3400             Email: </w:t>
      </w:r>
      <w:hyperlink r:id="rId8" w:history="1">
        <w:r w:rsidRPr="003A3663">
          <w:rPr>
            <w:rStyle w:val="Hyperlink"/>
          </w:rPr>
          <w:t>enquiries@sheffieldcityregion.org.uk</w:t>
        </w:r>
      </w:hyperlink>
    </w:p>
    <w:sectPr w:rsidR="00B5360C" w:rsidRPr="00D22545" w:rsidSect="009651FF">
      <w:headerReference w:type="default" r:id="rId9"/>
      <w:pgSz w:w="11906" w:h="16838"/>
      <w:pgMar w:top="1134" w:right="851" w:bottom="1134"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13B01" w14:textId="77777777" w:rsidR="007A4C43" w:rsidRDefault="007A4C43" w:rsidP="009930EC">
      <w:pPr>
        <w:spacing w:after="0" w:line="240" w:lineRule="auto"/>
      </w:pPr>
      <w:r>
        <w:separator/>
      </w:r>
    </w:p>
  </w:endnote>
  <w:endnote w:type="continuationSeparator" w:id="0">
    <w:p w14:paraId="54B631F2" w14:textId="77777777" w:rsidR="007A4C43" w:rsidRDefault="007A4C43" w:rsidP="0099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effield Headline">
    <w:altName w:val="Calibri"/>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99794" w14:textId="77777777" w:rsidR="007A4C43" w:rsidRDefault="007A4C43" w:rsidP="009930EC">
      <w:pPr>
        <w:spacing w:after="0" w:line="240" w:lineRule="auto"/>
      </w:pPr>
      <w:r>
        <w:separator/>
      </w:r>
    </w:p>
  </w:footnote>
  <w:footnote w:type="continuationSeparator" w:id="0">
    <w:p w14:paraId="2922EAF4" w14:textId="77777777" w:rsidR="007A4C43" w:rsidRDefault="007A4C43" w:rsidP="009930EC">
      <w:pPr>
        <w:spacing w:after="0" w:line="240" w:lineRule="auto"/>
      </w:pPr>
      <w:r>
        <w:continuationSeparator/>
      </w:r>
    </w:p>
  </w:footnote>
  <w:footnote w:id="1">
    <w:p w14:paraId="0862414C" w14:textId="77777777" w:rsidR="004D031D" w:rsidRDefault="004D031D" w:rsidP="00A01281">
      <w:pPr>
        <w:pStyle w:val="FootnoteText"/>
      </w:pPr>
      <w:r>
        <w:rPr>
          <w:rStyle w:val="FootnoteReference"/>
        </w:rPr>
        <w:footnoteRef/>
      </w:r>
      <w:r>
        <w:t xml:space="preserve"> </w:t>
      </w:r>
      <w:r w:rsidRPr="00000CA0">
        <w:t>In the 2014-2020 programme the S</w:t>
      </w:r>
      <w:r>
        <w:t>heffield City Region</w:t>
      </w:r>
      <w:r w:rsidRPr="00000CA0">
        <w:t xml:space="preserve"> L</w:t>
      </w:r>
      <w:r>
        <w:t xml:space="preserve">ocal </w:t>
      </w:r>
      <w:r w:rsidRPr="00000CA0">
        <w:t>E</w:t>
      </w:r>
      <w:r>
        <w:t xml:space="preserve">nterprise </w:t>
      </w:r>
      <w:r w:rsidRPr="00000CA0">
        <w:t>P</w:t>
      </w:r>
      <w:r>
        <w:t>artnership</w:t>
      </w:r>
      <w:r w:rsidRPr="00000CA0">
        <w:t xml:space="preserve"> was allocated €207.2m of ESIF and €3.1m of EAFRD.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DAF9" w14:textId="77777777" w:rsidR="004D031D" w:rsidRDefault="004D031D" w:rsidP="009930EC">
    <w:pPr>
      <w:pStyle w:val="Header"/>
      <w:ind w:left="-1418" w:right="-1440"/>
    </w:pPr>
    <w:r>
      <w:rPr>
        <w:noProof/>
        <w:lang w:val="en-US"/>
      </w:rPr>
      <w:drawing>
        <wp:inline distT="0" distB="0" distL="0" distR="0" wp14:anchorId="114F0B3B" wp14:editId="3C42BB7E">
          <wp:extent cx="7531095" cy="12906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png"/>
                  <pic:cNvPicPr/>
                </pic:nvPicPr>
                <pic:blipFill>
                  <a:blip r:embed="rId1">
                    <a:extLst>
                      <a:ext uri="{28A0092B-C50C-407E-A947-70E740481C1C}">
                        <a14:useLocalDpi xmlns:a14="http://schemas.microsoft.com/office/drawing/2010/main" val="0"/>
                      </a:ext>
                    </a:extLst>
                  </a:blip>
                  <a:stretch>
                    <a:fillRect/>
                  </a:stretch>
                </pic:blipFill>
                <pic:spPr>
                  <a:xfrm>
                    <a:off x="0" y="0"/>
                    <a:ext cx="7531095" cy="1290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B6DF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D6B25"/>
    <w:multiLevelType w:val="hybridMultilevel"/>
    <w:tmpl w:val="B5CCD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6C3F9E"/>
    <w:multiLevelType w:val="hybridMultilevel"/>
    <w:tmpl w:val="BF42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324F1"/>
    <w:multiLevelType w:val="multilevel"/>
    <w:tmpl w:val="B7A60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A1C16"/>
    <w:multiLevelType w:val="hybridMultilevel"/>
    <w:tmpl w:val="07247344"/>
    <w:lvl w:ilvl="0" w:tplc="91D28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95B65"/>
    <w:multiLevelType w:val="hybridMultilevel"/>
    <w:tmpl w:val="DA9A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D6F25"/>
    <w:multiLevelType w:val="multilevel"/>
    <w:tmpl w:val="7EE6D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236C9"/>
    <w:multiLevelType w:val="multilevel"/>
    <w:tmpl w:val="122A2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2356B6"/>
    <w:multiLevelType w:val="hybridMultilevel"/>
    <w:tmpl w:val="8BA0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44D37"/>
    <w:multiLevelType w:val="hybridMultilevel"/>
    <w:tmpl w:val="F9BA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37DA9"/>
    <w:multiLevelType w:val="hybridMultilevel"/>
    <w:tmpl w:val="28FC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B2B63"/>
    <w:multiLevelType w:val="hybridMultilevel"/>
    <w:tmpl w:val="E676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3642F"/>
    <w:multiLevelType w:val="hybridMultilevel"/>
    <w:tmpl w:val="3554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41D6D"/>
    <w:multiLevelType w:val="hybridMultilevel"/>
    <w:tmpl w:val="1C6CAC3E"/>
    <w:lvl w:ilvl="0" w:tplc="82D00F46">
      <w:start w:val="1"/>
      <w:numFmt w:val="bullet"/>
      <w:lvlText w:val=""/>
      <w:lvlJc w:val="left"/>
      <w:pPr>
        <w:ind w:left="720" w:hanging="360"/>
      </w:pPr>
      <w:rPr>
        <w:rFonts w:ascii="Wingdings" w:hAnsi="Wingdings" w:hint="default"/>
        <w:color w:val="799C4B"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42DB9"/>
    <w:multiLevelType w:val="hybridMultilevel"/>
    <w:tmpl w:val="2A66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403C9"/>
    <w:multiLevelType w:val="hybridMultilevel"/>
    <w:tmpl w:val="9C8C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15"/>
  </w:num>
  <w:num w:numId="5">
    <w:abstractNumId w:val="3"/>
  </w:num>
  <w:num w:numId="6">
    <w:abstractNumId w:val="12"/>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0"/>
  </w:num>
  <w:num w:numId="12">
    <w:abstractNumId w:val="11"/>
  </w:num>
  <w:num w:numId="13">
    <w:abstractNumId w:val="9"/>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A5"/>
    <w:rsid w:val="00000CA0"/>
    <w:rsid w:val="0002250F"/>
    <w:rsid w:val="00034170"/>
    <w:rsid w:val="000355A5"/>
    <w:rsid w:val="00036895"/>
    <w:rsid w:val="0004324A"/>
    <w:rsid w:val="000650E7"/>
    <w:rsid w:val="00066293"/>
    <w:rsid w:val="0007416D"/>
    <w:rsid w:val="000871EA"/>
    <w:rsid w:val="00090F12"/>
    <w:rsid w:val="000946E5"/>
    <w:rsid w:val="0009788B"/>
    <w:rsid w:val="000A0687"/>
    <w:rsid w:val="000A60D0"/>
    <w:rsid w:val="000A617E"/>
    <w:rsid w:val="000A6808"/>
    <w:rsid w:val="000B4BB4"/>
    <w:rsid w:val="000C0045"/>
    <w:rsid w:val="000C6F51"/>
    <w:rsid w:val="000D4844"/>
    <w:rsid w:val="000D55F3"/>
    <w:rsid w:val="000D5EC7"/>
    <w:rsid w:val="000D6C0E"/>
    <w:rsid w:val="000E1253"/>
    <w:rsid w:val="000E4003"/>
    <w:rsid w:val="001075F2"/>
    <w:rsid w:val="00110240"/>
    <w:rsid w:val="001202D4"/>
    <w:rsid w:val="00131247"/>
    <w:rsid w:val="00135F08"/>
    <w:rsid w:val="00151416"/>
    <w:rsid w:val="0015226D"/>
    <w:rsid w:val="00166001"/>
    <w:rsid w:val="00170E6C"/>
    <w:rsid w:val="001957CB"/>
    <w:rsid w:val="001A0699"/>
    <w:rsid w:val="001A64C8"/>
    <w:rsid w:val="001A7E8E"/>
    <w:rsid w:val="001B3553"/>
    <w:rsid w:val="001B697C"/>
    <w:rsid w:val="001C26CD"/>
    <w:rsid w:val="001C597E"/>
    <w:rsid w:val="001C7216"/>
    <w:rsid w:val="001D7BED"/>
    <w:rsid w:val="001E31F6"/>
    <w:rsid w:val="001E547B"/>
    <w:rsid w:val="001E7EEA"/>
    <w:rsid w:val="00200C81"/>
    <w:rsid w:val="00201FE6"/>
    <w:rsid w:val="0021413E"/>
    <w:rsid w:val="002216DA"/>
    <w:rsid w:val="00227C9B"/>
    <w:rsid w:val="002304A4"/>
    <w:rsid w:val="002352D8"/>
    <w:rsid w:val="002359E4"/>
    <w:rsid w:val="00236773"/>
    <w:rsid w:val="002460C3"/>
    <w:rsid w:val="00250B4D"/>
    <w:rsid w:val="00250CC0"/>
    <w:rsid w:val="002516C3"/>
    <w:rsid w:val="0026653E"/>
    <w:rsid w:val="0026776C"/>
    <w:rsid w:val="00274D41"/>
    <w:rsid w:val="0027741C"/>
    <w:rsid w:val="002A0AEA"/>
    <w:rsid w:val="002A3CFB"/>
    <w:rsid w:val="002A48A3"/>
    <w:rsid w:val="002C3E96"/>
    <w:rsid w:val="002C538A"/>
    <w:rsid w:val="002D6405"/>
    <w:rsid w:val="002E41E4"/>
    <w:rsid w:val="002E6AF7"/>
    <w:rsid w:val="002F0A07"/>
    <w:rsid w:val="002F13ED"/>
    <w:rsid w:val="002F4413"/>
    <w:rsid w:val="002F4F96"/>
    <w:rsid w:val="002F60E4"/>
    <w:rsid w:val="00305846"/>
    <w:rsid w:val="003165AD"/>
    <w:rsid w:val="00320EC0"/>
    <w:rsid w:val="00332A59"/>
    <w:rsid w:val="003440BB"/>
    <w:rsid w:val="00347B7B"/>
    <w:rsid w:val="003522E2"/>
    <w:rsid w:val="00360AD8"/>
    <w:rsid w:val="00362A52"/>
    <w:rsid w:val="003639C3"/>
    <w:rsid w:val="003649B6"/>
    <w:rsid w:val="003767D2"/>
    <w:rsid w:val="00382BB2"/>
    <w:rsid w:val="00391210"/>
    <w:rsid w:val="003A0E14"/>
    <w:rsid w:val="003A0E24"/>
    <w:rsid w:val="003A122B"/>
    <w:rsid w:val="003A3663"/>
    <w:rsid w:val="003B0A40"/>
    <w:rsid w:val="003B7036"/>
    <w:rsid w:val="003B7233"/>
    <w:rsid w:val="003B7E18"/>
    <w:rsid w:val="003C1110"/>
    <w:rsid w:val="003C6919"/>
    <w:rsid w:val="003C6AF0"/>
    <w:rsid w:val="003D022F"/>
    <w:rsid w:val="003D3752"/>
    <w:rsid w:val="003D6605"/>
    <w:rsid w:val="003E1FD1"/>
    <w:rsid w:val="003E3D04"/>
    <w:rsid w:val="003E5911"/>
    <w:rsid w:val="003F65C3"/>
    <w:rsid w:val="0040462C"/>
    <w:rsid w:val="00405451"/>
    <w:rsid w:val="00406103"/>
    <w:rsid w:val="00423E89"/>
    <w:rsid w:val="00425ED5"/>
    <w:rsid w:val="00426496"/>
    <w:rsid w:val="004314F0"/>
    <w:rsid w:val="00441C82"/>
    <w:rsid w:val="00442921"/>
    <w:rsid w:val="00447F96"/>
    <w:rsid w:val="00451736"/>
    <w:rsid w:val="004521F0"/>
    <w:rsid w:val="00456386"/>
    <w:rsid w:val="004625CE"/>
    <w:rsid w:val="0046312C"/>
    <w:rsid w:val="004652C0"/>
    <w:rsid w:val="00471FE3"/>
    <w:rsid w:val="00476CBA"/>
    <w:rsid w:val="00482733"/>
    <w:rsid w:val="004A48FF"/>
    <w:rsid w:val="004A6252"/>
    <w:rsid w:val="004B7251"/>
    <w:rsid w:val="004C0720"/>
    <w:rsid w:val="004C55FA"/>
    <w:rsid w:val="004D031D"/>
    <w:rsid w:val="004D1494"/>
    <w:rsid w:val="004D5480"/>
    <w:rsid w:val="004D6E9D"/>
    <w:rsid w:val="004E68A5"/>
    <w:rsid w:val="004F3CB9"/>
    <w:rsid w:val="00501C9B"/>
    <w:rsid w:val="00520048"/>
    <w:rsid w:val="005316A7"/>
    <w:rsid w:val="0053518F"/>
    <w:rsid w:val="00540DAA"/>
    <w:rsid w:val="00541DFF"/>
    <w:rsid w:val="005502C9"/>
    <w:rsid w:val="00551E93"/>
    <w:rsid w:val="005537E2"/>
    <w:rsid w:val="005635B3"/>
    <w:rsid w:val="00564BCC"/>
    <w:rsid w:val="00565D26"/>
    <w:rsid w:val="00571159"/>
    <w:rsid w:val="005750D3"/>
    <w:rsid w:val="00584044"/>
    <w:rsid w:val="00584F00"/>
    <w:rsid w:val="00586330"/>
    <w:rsid w:val="00591345"/>
    <w:rsid w:val="005978C5"/>
    <w:rsid w:val="005A653F"/>
    <w:rsid w:val="005B2EFF"/>
    <w:rsid w:val="005B450F"/>
    <w:rsid w:val="005D2575"/>
    <w:rsid w:val="005E54CF"/>
    <w:rsid w:val="005E59F0"/>
    <w:rsid w:val="005E5E00"/>
    <w:rsid w:val="005F04DC"/>
    <w:rsid w:val="005F0FA0"/>
    <w:rsid w:val="00600D92"/>
    <w:rsid w:val="006018D6"/>
    <w:rsid w:val="00610D32"/>
    <w:rsid w:val="006128A3"/>
    <w:rsid w:val="00635B75"/>
    <w:rsid w:val="00635FB4"/>
    <w:rsid w:val="0064179E"/>
    <w:rsid w:val="00643E6F"/>
    <w:rsid w:val="0065664F"/>
    <w:rsid w:val="006661C7"/>
    <w:rsid w:val="00676297"/>
    <w:rsid w:val="0068087C"/>
    <w:rsid w:val="006822BF"/>
    <w:rsid w:val="006858E8"/>
    <w:rsid w:val="006A6AF6"/>
    <w:rsid w:val="006C35F3"/>
    <w:rsid w:val="006C790F"/>
    <w:rsid w:val="006D4FEC"/>
    <w:rsid w:val="006E0C1D"/>
    <w:rsid w:val="006E16FD"/>
    <w:rsid w:val="006E5DEF"/>
    <w:rsid w:val="006E6557"/>
    <w:rsid w:val="006F1E28"/>
    <w:rsid w:val="0070370C"/>
    <w:rsid w:val="00704B18"/>
    <w:rsid w:val="0071644F"/>
    <w:rsid w:val="007176DD"/>
    <w:rsid w:val="007235CC"/>
    <w:rsid w:val="00725BDD"/>
    <w:rsid w:val="007263CC"/>
    <w:rsid w:val="007305A8"/>
    <w:rsid w:val="00731059"/>
    <w:rsid w:val="00735F1A"/>
    <w:rsid w:val="00740122"/>
    <w:rsid w:val="00740C6B"/>
    <w:rsid w:val="00741F5A"/>
    <w:rsid w:val="00744615"/>
    <w:rsid w:val="0076399D"/>
    <w:rsid w:val="007667C8"/>
    <w:rsid w:val="007721B1"/>
    <w:rsid w:val="00776B88"/>
    <w:rsid w:val="00780E0E"/>
    <w:rsid w:val="00785CAE"/>
    <w:rsid w:val="00792215"/>
    <w:rsid w:val="0079273A"/>
    <w:rsid w:val="00792FF5"/>
    <w:rsid w:val="007934E5"/>
    <w:rsid w:val="007A19E7"/>
    <w:rsid w:val="007A4C43"/>
    <w:rsid w:val="007A6B35"/>
    <w:rsid w:val="007B3951"/>
    <w:rsid w:val="007B3E8B"/>
    <w:rsid w:val="007B6A85"/>
    <w:rsid w:val="007B7F17"/>
    <w:rsid w:val="007C24C0"/>
    <w:rsid w:val="007D0944"/>
    <w:rsid w:val="007D1712"/>
    <w:rsid w:val="007D308B"/>
    <w:rsid w:val="007E0991"/>
    <w:rsid w:val="007F4B43"/>
    <w:rsid w:val="007F6D62"/>
    <w:rsid w:val="007F7730"/>
    <w:rsid w:val="00800573"/>
    <w:rsid w:val="008017BE"/>
    <w:rsid w:val="0080577C"/>
    <w:rsid w:val="00815DF8"/>
    <w:rsid w:val="008214EC"/>
    <w:rsid w:val="00823454"/>
    <w:rsid w:val="00826031"/>
    <w:rsid w:val="00833D83"/>
    <w:rsid w:val="00837804"/>
    <w:rsid w:val="00840271"/>
    <w:rsid w:val="00840311"/>
    <w:rsid w:val="00843A72"/>
    <w:rsid w:val="008556B6"/>
    <w:rsid w:val="008557B0"/>
    <w:rsid w:val="008619AD"/>
    <w:rsid w:val="0086562D"/>
    <w:rsid w:val="00865D93"/>
    <w:rsid w:val="00873A4E"/>
    <w:rsid w:val="00875A20"/>
    <w:rsid w:val="00885A2E"/>
    <w:rsid w:val="008A066C"/>
    <w:rsid w:val="008D4744"/>
    <w:rsid w:val="008D714B"/>
    <w:rsid w:val="008E4AF8"/>
    <w:rsid w:val="008F19A2"/>
    <w:rsid w:val="008F1DD8"/>
    <w:rsid w:val="009031BC"/>
    <w:rsid w:val="0091422F"/>
    <w:rsid w:val="009146EF"/>
    <w:rsid w:val="009319CC"/>
    <w:rsid w:val="00934D71"/>
    <w:rsid w:val="00943EE1"/>
    <w:rsid w:val="00945788"/>
    <w:rsid w:val="0095335F"/>
    <w:rsid w:val="009539F6"/>
    <w:rsid w:val="00963F01"/>
    <w:rsid w:val="009651FF"/>
    <w:rsid w:val="00965CC7"/>
    <w:rsid w:val="00980810"/>
    <w:rsid w:val="00981946"/>
    <w:rsid w:val="009857E8"/>
    <w:rsid w:val="009930EC"/>
    <w:rsid w:val="009A2C46"/>
    <w:rsid w:val="009A5652"/>
    <w:rsid w:val="009A7838"/>
    <w:rsid w:val="009B3141"/>
    <w:rsid w:val="009B3CA8"/>
    <w:rsid w:val="009E42BE"/>
    <w:rsid w:val="009E623D"/>
    <w:rsid w:val="009F3FBC"/>
    <w:rsid w:val="009F4780"/>
    <w:rsid w:val="009F66A2"/>
    <w:rsid w:val="00A01281"/>
    <w:rsid w:val="00A04DF2"/>
    <w:rsid w:val="00A15A85"/>
    <w:rsid w:val="00A17A7C"/>
    <w:rsid w:val="00A31762"/>
    <w:rsid w:val="00A34414"/>
    <w:rsid w:val="00A47C63"/>
    <w:rsid w:val="00A533B5"/>
    <w:rsid w:val="00A53783"/>
    <w:rsid w:val="00A67F98"/>
    <w:rsid w:val="00A745C8"/>
    <w:rsid w:val="00A77181"/>
    <w:rsid w:val="00A77A2A"/>
    <w:rsid w:val="00A8259E"/>
    <w:rsid w:val="00A829E9"/>
    <w:rsid w:val="00A8396D"/>
    <w:rsid w:val="00AA3962"/>
    <w:rsid w:val="00AB0017"/>
    <w:rsid w:val="00AB2E57"/>
    <w:rsid w:val="00AC0B48"/>
    <w:rsid w:val="00AC17D0"/>
    <w:rsid w:val="00AC4910"/>
    <w:rsid w:val="00AC5A74"/>
    <w:rsid w:val="00AC6F57"/>
    <w:rsid w:val="00AD6FA4"/>
    <w:rsid w:val="00AD7EDF"/>
    <w:rsid w:val="00AE146D"/>
    <w:rsid w:val="00AE1F76"/>
    <w:rsid w:val="00AE5751"/>
    <w:rsid w:val="00AF650B"/>
    <w:rsid w:val="00B01BA9"/>
    <w:rsid w:val="00B02028"/>
    <w:rsid w:val="00B0227B"/>
    <w:rsid w:val="00B0655D"/>
    <w:rsid w:val="00B163B4"/>
    <w:rsid w:val="00B20DFE"/>
    <w:rsid w:val="00B244C0"/>
    <w:rsid w:val="00B27C2B"/>
    <w:rsid w:val="00B312A2"/>
    <w:rsid w:val="00B33BF4"/>
    <w:rsid w:val="00B33C05"/>
    <w:rsid w:val="00B34883"/>
    <w:rsid w:val="00B356DF"/>
    <w:rsid w:val="00B47C5E"/>
    <w:rsid w:val="00B5360C"/>
    <w:rsid w:val="00B5633B"/>
    <w:rsid w:val="00B564B9"/>
    <w:rsid w:val="00B70D4A"/>
    <w:rsid w:val="00B72066"/>
    <w:rsid w:val="00B776CF"/>
    <w:rsid w:val="00B83CE8"/>
    <w:rsid w:val="00B85A4C"/>
    <w:rsid w:val="00BA133F"/>
    <w:rsid w:val="00BA4B48"/>
    <w:rsid w:val="00BA5D9D"/>
    <w:rsid w:val="00BB522B"/>
    <w:rsid w:val="00BC1A26"/>
    <w:rsid w:val="00BC23D0"/>
    <w:rsid w:val="00BC673C"/>
    <w:rsid w:val="00BD1005"/>
    <w:rsid w:val="00BD763E"/>
    <w:rsid w:val="00BD76BE"/>
    <w:rsid w:val="00BE3A42"/>
    <w:rsid w:val="00BE629D"/>
    <w:rsid w:val="00BF5DB5"/>
    <w:rsid w:val="00C009FF"/>
    <w:rsid w:val="00C00B43"/>
    <w:rsid w:val="00C022CB"/>
    <w:rsid w:val="00C067AB"/>
    <w:rsid w:val="00C1426C"/>
    <w:rsid w:val="00C251F7"/>
    <w:rsid w:val="00C307D5"/>
    <w:rsid w:val="00C457FF"/>
    <w:rsid w:val="00C5057F"/>
    <w:rsid w:val="00C55955"/>
    <w:rsid w:val="00C75AE0"/>
    <w:rsid w:val="00C85FF9"/>
    <w:rsid w:val="00C97064"/>
    <w:rsid w:val="00CC5FD7"/>
    <w:rsid w:val="00CD0419"/>
    <w:rsid w:val="00CF5023"/>
    <w:rsid w:val="00CF5283"/>
    <w:rsid w:val="00CF65D6"/>
    <w:rsid w:val="00D03755"/>
    <w:rsid w:val="00D22545"/>
    <w:rsid w:val="00D23122"/>
    <w:rsid w:val="00D26B62"/>
    <w:rsid w:val="00D27D4A"/>
    <w:rsid w:val="00D400E5"/>
    <w:rsid w:val="00D52058"/>
    <w:rsid w:val="00D67ABE"/>
    <w:rsid w:val="00D75950"/>
    <w:rsid w:val="00D7688D"/>
    <w:rsid w:val="00D77209"/>
    <w:rsid w:val="00D80CC4"/>
    <w:rsid w:val="00D80D4B"/>
    <w:rsid w:val="00D83554"/>
    <w:rsid w:val="00D86B37"/>
    <w:rsid w:val="00D907E7"/>
    <w:rsid w:val="00D91E06"/>
    <w:rsid w:val="00D95679"/>
    <w:rsid w:val="00DA0EA5"/>
    <w:rsid w:val="00DB0F46"/>
    <w:rsid w:val="00DB187C"/>
    <w:rsid w:val="00DB2405"/>
    <w:rsid w:val="00DB3CAF"/>
    <w:rsid w:val="00DB577E"/>
    <w:rsid w:val="00DC4850"/>
    <w:rsid w:val="00DD7339"/>
    <w:rsid w:val="00DE107D"/>
    <w:rsid w:val="00DE3FB4"/>
    <w:rsid w:val="00DF5CC2"/>
    <w:rsid w:val="00E0138E"/>
    <w:rsid w:val="00E01F77"/>
    <w:rsid w:val="00E05C8A"/>
    <w:rsid w:val="00E078D6"/>
    <w:rsid w:val="00E10058"/>
    <w:rsid w:val="00E2631B"/>
    <w:rsid w:val="00E27476"/>
    <w:rsid w:val="00E31C2B"/>
    <w:rsid w:val="00E3671D"/>
    <w:rsid w:val="00E409FD"/>
    <w:rsid w:val="00E419D6"/>
    <w:rsid w:val="00E41DC7"/>
    <w:rsid w:val="00E46E65"/>
    <w:rsid w:val="00E4764B"/>
    <w:rsid w:val="00E52B26"/>
    <w:rsid w:val="00E52B3E"/>
    <w:rsid w:val="00E5326E"/>
    <w:rsid w:val="00E54534"/>
    <w:rsid w:val="00E55348"/>
    <w:rsid w:val="00E56667"/>
    <w:rsid w:val="00E570CB"/>
    <w:rsid w:val="00E62F13"/>
    <w:rsid w:val="00E6689E"/>
    <w:rsid w:val="00E71CDA"/>
    <w:rsid w:val="00E76584"/>
    <w:rsid w:val="00E76AEA"/>
    <w:rsid w:val="00E84100"/>
    <w:rsid w:val="00E86583"/>
    <w:rsid w:val="00E8769A"/>
    <w:rsid w:val="00E973A8"/>
    <w:rsid w:val="00EB30A7"/>
    <w:rsid w:val="00EB38AA"/>
    <w:rsid w:val="00EC1D37"/>
    <w:rsid w:val="00ED2C1D"/>
    <w:rsid w:val="00ED6108"/>
    <w:rsid w:val="00ED707B"/>
    <w:rsid w:val="00EE2CAF"/>
    <w:rsid w:val="00EE4D98"/>
    <w:rsid w:val="00EE53DD"/>
    <w:rsid w:val="00EE5561"/>
    <w:rsid w:val="00EF085C"/>
    <w:rsid w:val="00EF4CE2"/>
    <w:rsid w:val="00EF7C0B"/>
    <w:rsid w:val="00F003E0"/>
    <w:rsid w:val="00F05D14"/>
    <w:rsid w:val="00F10B29"/>
    <w:rsid w:val="00F12283"/>
    <w:rsid w:val="00F14A84"/>
    <w:rsid w:val="00F15F3B"/>
    <w:rsid w:val="00F31A14"/>
    <w:rsid w:val="00F412D3"/>
    <w:rsid w:val="00F53A0A"/>
    <w:rsid w:val="00F60660"/>
    <w:rsid w:val="00F61ACC"/>
    <w:rsid w:val="00F71059"/>
    <w:rsid w:val="00F719DC"/>
    <w:rsid w:val="00F82225"/>
    <w:rsid w:val="00F91453"/>
    <w:rsid w:val="00F92675"/>
    <w:rsid w:val="00FA2255"/>
    <w:rsid w:val="00FA245E"/>
    <w:rsid w:val="00FA2FF5"/>
    <w:rsid w:val="00FB0B21"/>
    <w:rsid w:val="00FB2404"/>
    <w:rsid w:val="00FB5130"/>
    <w:rsid w:val="00FC0B04"/>
    <w:rsid w:val="00FC4DB8"/>
    <w:rsid w:val="00FC53B2"/>
    <w:rsid w:val="00FD2EFF"/>
    <w:rsid w:val="00FD61C9"/>
    <w:rsid w:val="00FD70E4"/>
    <w:rsid w:val="00FD7176"/>
    <w:rsid w:val="00FE0481"/>
    <w:rsid w:val="00FF13FD"/>
    <w:rsid w:val="00FF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53F369"/>
  <w15:docId w15:val="{425A168D-AC75-4878-AD7D-F5810DB1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46"/>
  </w:style>
  <w:style w:type="paragraph" w:styleId="Heading3">
    <w:name w:val="heading 3"/>
    <w:basedOn w:val="Normal"/>
    <w:link w:val="Heading3Char"/>
    <w:uiPriority w:val="9"/>
    <w:qFormat/>
    <w:rsid w:val="00B5360C"/>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355A5"/>
    <w:pPr>
      <w:ind w:left="720"/>
      <w:contextualSpacing/>
    </w:pPr>
  </w:style>
  <w:style w:type="paragraph" w:styleId="NormalWeb">
    <w:name w:val="Normal (Web)"/>
    <w:basedOn w:val="Normal"/>
    <w:uiPriority w:val="99"/>
    <w:semiHidden/>
    <w:unhideWhenUsed/>
    <w:rsid w:val="00D67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7ABE"/>
    <w:rPr>
      <w:color w:val="0000FF"/>
      <w:u w:val="single"/>
    </w:rPr>
  </w:style>
  <w:style w:type="paragraph" w:customStyle="1" w:styleId="font8">
    <w:name w:val="font_8"/>
    <w:basedOn w:val="Normal"/>
    <w:rsid w:val="003639C3"/>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B3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53"/>
    <w:rPr>
      <w:rFonts w:ascii="Tahoma" w:hAnsi="Tahoma" w:cs="Tahoma"/>
      <w:sz w:val="16"/>
      <w:szCs w:val="16"/>
    </w:rPr>
  </w:style>
  <w:style w:type="paragraph" w:customStyle="1" w:styleId="Default">
    <w:name w:val="Default"/>
    <w:rsid w:val="001B355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930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0EC"/>
  </w:style>
  <w:style w:type="paragraph" w:styleId="Footer">
    <w:name w:val="footer"/>
    <w:basedOn w:val="Normal"/>
    <w:link w:val="FooterChar"/>
    <w:uiPriority w:val="99"/>
    <w:unhideWhenUsed/>
    <w:rsid w:val="009930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0EC"/>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AC6F57"/>
  </w:style>
  <w:style w:type="paragraph" w:styleId="ListBullet">
    <w:name w:val="List Bullet"/>
    <w:basedOn w:val="Normal"/>
    <w:uiPriority w:val="99"/>
    <w:unhideWhenUsed/>
    <w:rsid w:val="001C597E"/>
    <w:pPr>
      <w:numPr>
        <w:numId w:val="11"/>
      </w:numPr>
      <w:spacing w:after="160" w:line="259" w:lineRule="auto"/>
      <w:contextualSpacing/>
    </w:pPr>
  </w:style>
  <w:style w:type="character" w:styleId="CommentReference">
    <w:name w:val="annotation reference"/>
    <w:basedOn w:val="DefaultParagraphFont"/>
    <w:uiPriority w:val="99"/>
    <w:semiHidden/>
    <w:unhideWhenUsed/>
    <w:rsid w:val="001C597E"/>
    <w:rPr>
      <w:sz w:val="16"/>
      <w:szCs w:val="16"/>
    </w:rPr>
  </w:style>
  <w:style w:type="paragraph" w:styleId="CommentText">
    <w:name w:val="annotation text"/>
    <w:basedOn w:val="Normal"/>
    <w:link w:val="CommentTextChar"/>
    <w:uiPriority w:val="99"/>
    <w:semiHidden/>
    <w:unhideWhenUsed/>
    <w:rsid w:val="001C597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C597E"/>
    <w:rPr>
      <w:sz w:val="20"/>
      <w:szCs w:val="20"/>
    </w:rPr>
  </w:style>
  <w:style w:type="table" w:styleId="TableGrid">
    <w:name w:val="Table Grid"/>
    <w:basedOn w:val="TableNormal"/>
    <w:uiPriority w:val="39"/>
    <w:rsid w:val="00DE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122"/>
    <w:pPr>
      <w:spacing w:after="200"/>
    </w:pPr>
    <w:rPr>
      <w:b/>
      <w:bCs/>
    </w:rPr>
  </w:style>
  <w:style w:type="character" w:customStyle="1" w:styleId="CommentSubjectChar">
    <w:name w:val="Comment Subject Char"/>
    <w:basedOn w:val="CommentTextChar"/>
    <w:link w:val="CommentSubject"/>
    <w:uiPriority w:val="99"/>
    <w:semiHidden/>
    <w:rsid w:val="00D23122"/>
    <w:rPr>
      <w:b/>
      <w:bCs/>
      <w:sz w:val="20"/>
      <w:szCs w:val="20"/>
    </w:rPr>
  </w:style>
  <w:style w:type="character" w:customStyle="1" w:styleId="Heading3Char">
    <w:name w:val="Heading 3 Char"/>
    <w:basedOn w:val="DefaultParagraphFont"/>
    <w:link w:val="Heading3"/>
    <w:uiPriority w:val="9"/>
    <w:rsid w:val="00B5360C"/>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151416"/>
    <w:rPr>
      <w:color w:val="808080"/>
      <w:shd w:val="clear" w:color="auto" w:fill="E6E6E6"/>
    </w:rPr>
  </w:style>
  <w:style w:type="paragraph" w:styleId="FootnoteText">
    <w:name w:val="footnote text"/>
    <w:basedOn w:val="Normal"/>
    <w:link w:val="FootnoteTextChar"/>
    <w:uiPriority w:val="99"/>
    <w:semiHidden/>
    <w:unhideWhenUsed/>
    <w:rsid w:val="00000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CA0"/>
    <w:rPr>
      <w:sz w:val="20"/>
      <w:szCs w:val="20"/>
    </w:rPr>
  </w:style>
  <w:style w:type="character" w:styleId="FootnoteReference">
    <w:name w:val="footnote reference"/>
    <w:basedOn w:val="DefaultParagraphFont"/>
    <w:uiPriority w:val="99"/>
    <w:semiHidden/>
    <w:unhideWhenUsed/>
    <w:rsid w:val="00000CA0"/>
    <w:rPr>
      <w:vertAlign w:val="superscript"/>
    </w:rPr>
  </w:style>
  <w:style w:type="paragraph" w:styleId="Revision">
    <w:name w:val="Revision"/>
    <w:hidden/>
    <w:uiPriority w:val="99"/>
    <w:semiHidden/>
    <w:rsid w:val="00A01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753">
      <w:bodyDiv w:val="1"/>
      <w:marLeft w:val="0"/>
      <w:marRight w:val="0"/>
      <w:marTop w:val="0"/>
      <w:marBottom w:val="0"/>
      <w:divBdr>
        <w:top w:val="none" w:sz="0" w:space="0" w:color="auto"/>
        <w:left w:val="none" w:sz="0" w:space="0" w:color="auto"/>
        <w:bottom w:val="none" w:sz="0" w:space="0" w:color="auto"/>
        <w:right w:val="none" w:sz="0" w:space="0" w:color="auto"/>
      </w:divBdr>
      <w:divsChild>
        <w:div w:id="564144047">
          <w:marLeft w:val="0"/>
          <w:marRight w:val="0"/>
          <w:marTop w:val="0"/>
          <w:marBottom w:val="0"/>
          <w:divBdr>
            <w:top w:val="none" w:sz="0" w:space="0" w:color="auto"/>
            <w:left w:val="none" w:sz="0" w:space="0" w:color="auto"/>
            <w:bottom w:val="none" w:sz="0" w:space="0" w:color="auto"/>
            <w:right w:val="none" w:sz="0" w:space="0" w:color="auto"/>
          </w:divBdr>
          <w:divsChild>
            <w:div w:id="1177114608">
              <w:marLeft w:val="0"/>
              <w:marRight w:val="0"/>
              <w:marTop w:val="0"/>
              <w:marBottom w:val="0"/>
              <w:divBdr>
                <w:top w:val="none" w:sz="0" w:space="0" w:color="auto"/>
                <w:left w:val="none" w:sz="0" w:space="0" w:color="auto"/>
                <w:bottom w:val="none" w:sz="0" w:space="0" w:color="auto"/>
                <w:right w:val="none" w:sz="0" w:space="0" w:color="auto"/>
              </w:divBdr>
              <w:divsChild>
                <w:div w:id="1089615874">
                  <w:marLeft w:val="0"/>
                  <w:marRight w:val="0"/>
                  <w:marTop w:val="600"/>
                  <w:marBottom w:val="600"/>
                  <w:divBdr>
                    <w:top w:val="none" w:sz="0" w:space="0" w:color="auto"/>
                    <w:left w:val="none" w:sz="0" w:space="0" w:color="auto"/>
                    <w:bottom w:val="none" w:sz="0" w:space="0" w:color="auto"/>
                    <w:right w:val="none" w:sz="0" w:space="0" w:color="auto"/>
                  </w:divBdr>
                  <w:divsChild>
                    <w:div w:id="19431000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496354">
      <w:bodyDiv w:val="1"/>
      <w:marLeft w:val="0"/>
      <w:marRight w:val="0"/>
      <w:marTop w:val="0"/>
      <w:marBottom w:val="0"/>
      <w:divBdr>
        <w:top w:val="none" w:sz="0" w:space="0" w:color="auto"/>
        <w:left w:val="none" w:sz="0" w:space="0" w:color="auto"/>
        <w:bottom w:val="none" w:sz="0" w:space="0" w:color="auto"/>
        <w:right w:val="none" w:sz="0" w:space="0" w:color="auto"/>
      </w:divBdr>
    </w:div>
    <w:div w:id="163907549">
      <w:bodyDiv w:val="1"/>
      <w:marLeft w:val="0"/>
      <w:marRight w:val="0"/>
      <w:marTop w:val="0"/>
      <w:marBottom w:val="0"/>
      <w:divBdr>
        <w:top w:val="none" w:sz="0" w:space="0" w:color="auto"/>
        <w:left w:val="none" w:sz="0" w:space="0" w:color="auto"/>
        <w:bottom w:val="none" w:sz="0" w:space="0" w:color="auto"/>
        <w:right w:val="none" w:sz="0" w:space="0" w:color="auto"/>
      </w:divBdr>
    </w:div>
    <w:div w:id="236213397">
      <w:bodyDiv w:val="1"/>
      <w:marLeft w:val="0"/>
      <w:marRight w:val="0"/>
      <w:marTop w:val="0"/>
      <w:marBottom w:val="0"/>
      <w:divBdr>
        <w:top w:val="none" w:sz="0" w:space="0" w:color="auto"/>
        <w:left w:val="none" w:sz="0" w:space="0" w:color="auto"/>
        <w:bottom w:val="none" w:sz="0" w:space="0" w:color="auto"/>
        <w:right w:val="none" w:sz="0" w:space="0" w:color="auto"/>
      </w:divBdr>
    </w:div>
    <w:div w:id="296377834">
      <w:bodyDiv w:val="1"/>
      <w:marLeft w:val="0"/>
      <w:marRight w:val="0"/>
      <w:marTop w:val="0"/>
      <w:marBottom w:val="0"/>
      <w:divBdr>
        <w:top w:val="none" w:sz="0" w:space="0" w:color="auto"/>
        <w:left w:val="none" w:sz="0" w:space="0" w:color="auto"/>
        <w:bottom w:val="none" w:sz="0" w:space="0" w:color="auto"/>
        <w:right w:val="none" w:sz="0" w:space="0" w:color="auto"/>
      </w:divBdr>
      <w:divsChild>
        <w:div w:id="196697655">
          <w:marLeft w:val="0"/>
          <w:marRight w:val="0"/>
          <w:marTop w:val="0"/>
          <w:marBottom w:val="0"/>
          <w:divBdr>
            <w:top w:val="none" w:sz="0" w:space="0" w:color="auto"/>
            <w:left w:val="none" w:sz="0" w:space="0" w:color="auto"/>
            <w:bottom w:val="none" w:sz="0" w:space="0" w:color="auto"/>
            <w:right w:val="none" w:sz="0" w:space="0" w:color="auto"/>
          </w:divBdr>
          <w:divsChild>
            <w:div w:id="2001618479">
              <w:marLeft w:val="0"/>
              <w:marRight w:val="0"/>
              <w:marTop w:val="100"/>
              <w:marBottom w:val="100"/>
              <w:divBdr>
                <w:top w:val="none" w:sz="0" w:space="0" w:color="auto"/>
                <w:left w:val="none" w:sz="0" w:space="0" w:color="auto"/>
                <w:bottom w:val="none" w:sz="0" w:space="0" w:color="auto"/>
                <w:right w:val="none" w:sz="0" w:space="0" w:color="auto"/>
              </w:divBdr>
              <w:divsChild>
                <w:div w:id="158351030">
                  <w:marLeft w:val="0"/>
                  <w:marRight w:val="0"/>
                  <w:marTop w:val="0"/>
                  <w:marBottom w:val="0"/>
                  <w:divBdr>
                    <w:top w:val="none" w:sz="0" w:space="0" w:color="auto"/>
                    <w:left w:val="none" w:sz="0" w:space="0" w:color="auto"/>
                    <w:bottom w:val="none" w:sz="0" w:space="0" w:color="auto"/>
                    <w:right w:val="none" w:sz="0" w:space="0" w:color="auto"/>
                  </w:divBdr>
                  <w:divsChild>
                    <w:div w:id="328411763">
                      <w:marLeft w:val="0"/>
                      <w:marRight w:val="0"/>
                      <w:marTop w:val="0"/>
                      <w:marBottom w:val="0"/>
                      <w:divBdr>
                        <w:top w:val="none" w:sz="0" w:space="0" w:color="auto"/>
                        <w:left w:val="none" w:sz="0" w:space="0" w:color="auto"/>
                        <w:bottom w:val="none" w:sz="0" w:space="0" w:color="auto"/>
                        <w:right w:val="none" w:sz="0" w:space="0" w:color="auto"/>
                      </w:divBdr>
                      <w:divsChild>
                        <w:div w:id="390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25359">
      <w:bodyDiv w:val="1"/>
      <w:marLeft w:val="0"/>
      <w:marRight w:val="0"/>
      <w:marTop w:val="0"/>
      <w:marBottom w:val="0"/>
      <w:divBdr>
        <w:top w:val="none" w:sz="0" w:space="0" w:color="auto"/>
        <w:left w:val="none" w:sz="0" w:space="0" w:color="auto"/>
        <w:bottom w:val="none" w:sz="0" w:space="0" w:color="auto"/>
        <w:right w:val="none" w:sz="0" w:space="0" w:color="auto"/>
      </w:divBdr>
    </w:div>
    <w:div w:id="453447218">
      <w:bodyDiv w:val="1"/>
      <w:marLeft w:val="0"/>
      <w:marRight w:val="0"/>
      <w:marTop w:val="0"/>
      <w:marBottom w:val="0"/>
      <w:divBdr>
        <w:top w:val="none" w:sz="0" w:space="0" w:color="auto"/>
        <w:left w:val="none" w:sz="0" w:space="0" w:color="auto"/>
        <w:bottom w:val="none" w:sz="0" w:space="0" w:color="auto"/>
        <w:right w:val="none" w:sz="0" w:space="0" w:color="auto"/>
      </w:divBdr>
    </w:div>
    <w:div w:id="468401420">
      <w:bodyDiv w:val="1"/>
      <w:marLeft w:val="0"/>
      <w:marRight w:val="0"/>
      <w:marTop w:val="0"/>
      <w:marBottom w:val="0"/>
      <w:divBdr>
        <w:top w:val="none" w:sz="0" w:space="0" w:color="auto"/>
        <w:left w:val="none" w:sz="0" w:space="0" w:color="auto"/>
        <w:bottom w:val="none" w:sz="0" w:space="0" w:color="auto"/>
        <w:right w:val="none" w:sz="0" w:space="0" w:color="auto"/>
      </w:divBdr>
    </w:div>
    <w:div w:id="613289482">
      <w:bodyDiv w:val="1"/>
      <w:marLeft w:val="0"/>
      <w:marRight w:val="0"/>
      <w:marTop w:val="0"/>
      <w:marBottom w:val="0"/>
      <w:divBdr>
        <w:top w:val="none" w:sz="0" w:space="0" w:color="auto"/>
        <w:left w:val="none" w:sz="0" w:space="0" w:color="auto"/>
        <w:bottom w:val="none" w:sz="0" w:space="0" w:color="auto"/>
        <w:right w:val="none" w:sz="0" w:space="0" w:color="auto"/>
      </w:divBdr>
    </w:div>
    <w:div w:id="630860838">
      <w:bodyDiv w:val="1"/>
      <w:marLeft w:val="0"/>
      <w:marRight w:val="0"/>
      <w:marTop w:val="0"/>
      <w:marBottom w:val="0"/>
      <w:divBdr>
        <w:top w:val="none" w:sz="0" w:space="0" w:color="auto"/>
        <w:left w:val="none" w:sz="0" w:space="0" w:color="auto"/>
        <w:bottom w:val="none" w:sz="0" w:space="0" w:color="auto"/>
        <w:right w:val="none" w:sz="0" w:space="0" w:color="auto"/>
      </w:divBdr>
    </w:div>
    <w:div w:id="747271897">
      <w:bodyDiv w:val="1"/>
      <w:marLeft w:val="0"/>
      <w:marRight w:val="0"/>
      <w:marTop w:val="0"/>
      <w:marBottom w:val="0"/>
      <w:divBdr>
        <w:top w:val="none" w:sz="0" w:space="0" w:color="auto"/>
        <w:left w:val="none" w:sz="0" w:space="0" w:color="auto"/>
        <w:bottom w:val="none" w:sz="0" w:space="0" w:color="auto"/>
        <w:right w:val="none" w:sz="0" w:space="0" w:color="auto"/>
      </w:divBdr>
    </w:div>
    <w:div w:id="964778802">
      <w:bodyDiv w:val="1"/>
      <w:marLeft w:val="0"/>
      <w:marRight w:val="0"/>
      <w:marTop w:val="0"/>
      <w:marBottom w:val="0"/>
      <w:divBdr>
        <w:top w:val="none" w:sz="0" w:space="0" w:color="auto"/>
        <w:left w:val="none" w:sz="0" w:space="0" w:color="auto"/>
        <w:bottom w:val="none" w:sz="0" w:space="0" w:color="auto"/>
        <w:right w:val="none" w:sz="0" w:space="0" w:color="auto"/>
      </w:divBdr>
    </w:div>
    <w:div w:id="1011565235">
      <w:bodyDiv w:val="1"/>
      <w:marLeft w:val="0"/>
      <w:marRight w:val="0"/>
      <w:marTop w:val="0"/>
      <w:marBottom w:val="0"/>
      <w:divBdr>
        <w:top w:val="none" w:sz="0" w:space="0" w:color="auto"/>
        <w:left w:val="none" w:sz="0" w:space="0" w:color="auto"/>
        <w:bottom w:val="none" w:sz="0" w:space="0" w:color="auto"/>
        <w:right w:val="none" w:sz="0" w:space="0" w:color="auto"/>
      </w:divBdr>
    </w:div>
    <w:div w:id="1046639674">
      <w:bodyDiv w:val="1"/>
      <w:marLeft w:val="0"/>
      <w:marRight w:val="0"/>
      <w:marTop w:val="0"/>
      <w:marBottom w:val="0"/>
      <w:divBdr>
        <w:top w:val="none" w:sz="0" w:space="0" w:color="auto"/>
        <w:left w:val="none" w:sz="0" w:space="0" w:color="auto"/>
        <w:bottom w:val="none" w:sz="0" w:space="0" w:color="auto"/>
        <w:right w:val="none" w:sz="0" w:space="0" w:color="auto"/>
      </w:divBdr>
    </w:div>
    <w:div w:id="1062942309">
      <w:bodyDiv w:val="1"/>
      <w:marLeft w:val="0"/>
      <w:marRight w:val="0"/>
      <w:marTop w:val="0"/>
      <w:marBottom w:val="0"/>
      <w:divBdr>
        <w:top w:val="none" w:sz="0" w:space="0" w:color="auto"/>
        <w:left w:val="none" w:sz="0" w:space="0" w:color="auto"/>
        <w:bottom w:val="none" w:sz="0" w:space="0" w:color="auto"/>
        <w:right w:val="none" w:sz="0" w:space="0" w:color="auto"/>
      </w:divBdr>
    </w:div>
    <w:div w:id="1153523192">
      <w:bodyDiv w:val="1"/>
      <w:marLeft w:val="0"/>
      <w:marRight w:val="0"/>
      <w:marTop w:val="0"/>
      <w:marBottom w:val="0"/>
      <w:divBdr>
        <w:top w:val="none" w:sz="0" w:space="0" w:color="auto"/>
        <w:left w:val="none" w:sz="0" w:space="0" w:color="auto"/>
        <w:bottom w:val="none" w:sz="0" w:space="0" w:color="auto"/>
        <w:right w:val="none" w:sz="0" w:space="0" w:color="auto"/>
      </w:divBdr>
      <w:divsChild>
        <w:div w:id="1991402018">
          <w:marLeft w:val="0"/>
          <w:marRight w:val="0"/>
          <w:marTop w:val="0"/>
          <w:marBottom w:val="0"/>
          <w:divBdr>
            <w:top w:val="none" w:sz="0" w:space="0" w:color="auto"/>
            <w:left w:val="none" w:sz="0" w:space="0" w:color="auto"/>
            <w:bottom w:val="none" w:sz="0" w:space="0" w:color="auto"/>
            <w:right w:val="none" w:sz="0" w:space="0" w:color="auto"/>
          </w:divBdr>
          <w:divsChild>
            <w:div w:id="1946034855">
              <w:marLeft w:val="0"/>
              <w:marRight w:val="0"/>
              <w:marTop w:val="0"/>
              <w:marBottom w:val="0"/>
              <w:divBdr>
                <w:top w:val="none" w:sz="0" w:space="0" w:color="auto"/>
                <w:left w:val="none" w:sz="0" w:space="0" w:color="auto"/>
                <w:bottom w:val="none" w:sz="0" w:space="0" w:color="auto"/>
                <w:right w:val="none" w:sz="0" w:space="0" w:color="auto"/>
              </w:divBdr>
              <w:divsChild>
                <w:div w:id="776174700">
                  <w:marLeft w:val="0"/>
                  <w:marRight w:val="0"/>
                  <w:marTop w:val="0"/>
                  <w:marBottom w:val="0"/>
                  <w:divBdr>
                    <w:top w:val="none" w:sz="0" w:space="0" w:color="auto"/>
                    <w:left w:val="none" w:sz="0" w:space="0" w:color="auto"/>
                    <w:bottom w:val="none" w:sz="0" w:space="0" w:color="auto"/>
                    <w:right w:val="none" w:sz="0" w:space="0" w:color="auto"/>
                  </w:divBdr>
                  <w:divsChild>
                    <w:div w:id="11496203">
                      <w:marLeft w:val="0"/>
                      <w:marRight w:val="0"/>
                      <w:marTop w:val="0"/>
                      <w:marBottom w:val="0"/>
                      <w:divBdr>
                        <w:top w:val="none" w:sz="0" w:space="0" w:color="auto"/>
                        <w:left w:val="none" w:sz="0" w:space="0" w:color="auto"/>
                        <w:bottom w:val="none" w:sz="0" w:space="0" w:color="auto"/>
                        <w:right w:val="none" w:sz="0" w:space="0" w:color="auto"/>
                      </w:divBdr>
                      <w:divsChild>
                        <w:div w:id="1114787639">
                          <w:marLeft w:val="0"/>
                          <w:marRight w:val="0"/>
                          <w:marTop w:val="0"/>
                          <w:marBottom w:val="0"/>
                          <w:divBdr>
                            <w:top w:val="none" w:sz="0" w:space="0" w:color="auto"/>
                            <w:left w:val="none" w:sz="0" w:space="0" w:color="auto"/>
                            <w:bottom w:val="none" w:sz="0" w:space="0" w:color="auto"/>
                            <w:right w:val="none" w:sz="0" w:space="0" w:color="auto"/>
                          </w:divBdr>
                          <w:divsChild>
                            <w:div w:id="2055276426">
                              <w:marLeft w:val="0"/>
                              <w:marRight w:val="0"/>
                              <w:marTop w:val="0"/>
                              <w:marBottom w:val="0"/>
                              <w:divBdr>
                                <w:top w:val="none" w:sz="0" w:space="0" w:color="auto"/>
                                <w:left w:val="none" w:sz="0" w:space="0" w:color="auto"/>
                                <w:bottom w:val="none" w:sz="0" w:space="0" w:color="auto"/>
                                <w:right w:val="none" w:sz="0" w:space="0" w:color="auto"/>
                              </w:divBdr>
                              <w:divsChild>
                                <w:div w:id="295373474">
                                  <w:marLeft w:val="0"/>
                                  <w:marRight w:val="0"/>
                                  <w:marTop w:val="0"/>
                                  <w:marBottom w:val="0"/>
                                  <w:divBdr>
                                    <w:top w:val="none" w:sz="0" w:space="0" w:color="auto"/>
                                    <w:left w:val="none" w:sz="0" w:space="0" w:color="auto"/>
                                    <w:bottom w:val="none" w:sz="0" w:space="0" w:color="auto"/>
                                    <w:right w:val="none" w:sz="0" w:space="0" w:color="auto"/>
                                  </w:divBdr>
                                  <w:divsChild>
                                    <w:div w:id="6625132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584004">
      <w:bodyDiv w:val="1"/>
      <w:marLeft w:val="0"/>
      <w:marRight w:val="0"/>
      <w:marTop w:val="0"/>
      <w:marBottom w:val="0"/>
      <w:divBdr>
        <w:top w:val="none" w:sz="0" w:space="0" w:color="auto"/>
        <w:left w:val="none" w:sz="0" w:space="0" w:color="auto"/>
        <w:bottom w:val="none" w:sz="0" w:space="0" w:color="auto"/>
        <w:right w:val="none" w:sz="0" w:space="0" w:color="auto"/>
      </w:divBdr>
    </w:div>
    <w:div w:id="1182862299">
      <w:bodyDiv w:val="1"/>
      <w:marLeft w:val="0"/>
      <w:marRight w:val="0"/>
      <w:marTop w:val="0"/>
      <w:marBottom w:val="0"/>
      <w:divBdr>
        <w:top w:val="none" w:sz="0" w:space="0" w:color="auto"/>
        <w:left w:val="none" w:sz="0" w:space="0" w:color="auto"/>
        <w:bottom w:val="none" w:sz="0" w:space="0" w:color="auto"/>
        <w:right w:val="none" w:sz="0" w:space="0" w:color="auto"/>
      </w:divBdr>
    </w:div>
    <w:div w:id="1204102782">
      <w:bodyDiv w:val="1"/>
      <w:marLeft w:val="0"/>
      <w:marRight w:val="0"/>
      <w:marTop w:val="0"/>
      <w:marBottom w:val="0"/>
      <w:divBdr>
        <w:top w:val="none" w:sz="0" w:space="0" w:color="auto"/>
        <w:left w:val="none" w:sz="0" w:space="0" w:color="auto"/>
        <w:bottom w:val="none" w:sz="0" w:space="0" w:color="auto"/>
        <w:right w:val="none" w:sz="0" w:space="0" w:color="auto"/>
      </w:divBdr>
    </w:div>
    <w:div w:id="1207597117">
      <w:bodyDiv w:val="1"/>
      <w:marLeft w:val="0"/>
      <w:marRight w:val="0"/>
      <w:marTop w:val="0"/>
      <w:marBottom w:val="0"/>
      <w:divBdr>
        <w:top w:val="none" w:sz="0" w:space="0" w:color="auto"/>
        <w:left w:val="none" w:sz="0" w:space="0" w:color="auto"/>
        <w:bottom w:val="none" w:sz="0" w:space="0" w:color="auto"/>
        <w:right w:val="none" w:sz="0" w:space="0" w:color="auto"/>
      </w:divBdr>
    </w:div>
    <w:div w:id="1223252532">
      <w:bodyDiv w:val="1"/>
      <w:marLeft w:val="0"/>
      <w:marRight w:val="0"/>
      <w:marTop w:val="0"/>
      <w:marBottom w:val="0"/>
      <w:divBdr>
        <w:top w:val="none" w:sz="0" w:space="0" w:color="auto"/>
        <w:left w:val="none" w:sz="0" w:space="0" w:color="auto"/>
        <w:bottom w:val="none" w:sz="0" w:space="0" w:color="auto"/>
        <w:right w:val="none" w:sz="0" w:space="0" w:color="auto"/>
      </w:divBdr>
      <w:divsChild>
        <w:div w:id="1254513482">
          <w:marLeft w:val="0"/>
          <w:marRight w:val="0"/>
          <w:marTop w:val="0"/>
          <w:marBottom w:val="0"/>
          <w:divBdr>
            <w:top w:val="none" w:sz="0" w:space="0" w:color="auto"/>
            <w:left w:val="none" w:sz="0" w:space="0" w:color="auto"/>
            <w:bottom w:val="none" w:sz="0" w:space="0" w:color="auto"/>
            <w:right w:val="none" w:sz="0" w:space="0" w:color="auto"/>
          </w:divBdr>
          <w:divsChild>
            <w:div w:id="1204516013">
              <w:marLeft w:val="0"/>
              <w:marRight w:val="0"/>
              <w:marTop w:val="0"/>
              <w:marBottom w:val="0"/>
              <w:divBdr>
                <w:top w:val="none" w:sz="0" w:space="0" w:color="auto"/>
                <w:left w:val="none" w:sz="0" w:space="0" w:color="auto"/>
                <w:bottom w:val="none" w:sz="0" w:space="0" w:color="auto"/>
                <w:right w:val="none" w:sz="0" w:space="0" w:color="auto"/>
              </w:divBdr>
              <w:divsChild>
                <w:div w:id="735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8435">
      <w:bodyDiv w:val="1"/>
      <w:marLeft w:val="0"/>
      <w:marRight w:val="0"/>
      <w:marTop w:val="0"/>
      <w:marBottom w:val="0"/>
      <w:divBdr>
        <w:top w:val="none" w:sz="0" w:space="0" w:color="auto"/>
        <w:left w:val="none" w:sz="0" w:space="0" w:color="auto"/>
        <w:bottom w:val="none" w:sz="0" w:space="0" w:color="auto"/>
        <w:right w:val="none" w:sz="0" w:space="0" w:color="auto"/>
      </w:divBdr>
      <w:divsChild>
        <w:div w:id="409499418">
          <w:marLeft w:val="0"/>
          <w:marRight w:val="0"/>
          <w:marTop w:val="0"/>
          <w:marBottom w:val="0"/>
          <w:divBdr>
            <w:top w:val="none" w:sz="0" w:space="0" w:color="auto"/>
            <w:left w:val="none" w:sz="0" w:space="0" w:color="auto"/>
            <w:bottom w:val="none" w:sz="0" w:space="0" w:color="auto"/>
            <w:right w:val="none" w:sz="0" w:space="0" w:color="auto"/>
          </w:divBdr>
          <w:divsChild>
            <w:div w:id="1080566480">
              <w:marLeft w:val="0"/>
              <w:marRight w:val="0"/>
              <w:marTop w:val="0"/>
              <w:marBottom w:val="0"/>
              <w:divBdr>
                <w:top w:val="none" w:sz="0" w:space="0" w:color="auto"/>
                <w:left w:val="none" w:sz="0" w:space="0" w:color="auto"/>
                <w:bottom w:val="none" w:sz="0" w:space="0" w:color="auto"/>
                <w:right w:val="none" w:sz="0" w:space="0" w:color="auto"/>
              </w:divBdr>
              <w:divsChild>
                <w:div w:id="1676572115">
                  <w:marLeft w:val="0"/>
                  <w:marRight w:val="0"/>
                  <w:marTop w:val="0"/>
                  <w:marBottom w:val="0"/>
                  <w:divBdr>
                    <w:top w:val="none" w:sz="0" w:space="0" w:color="auto"/>
                    <w:left w:val="none" w:sz="0" w:space="0" w:color="auto"/>
                    <w:bottom w:val="none" w:sz="0" w:space="0" w:color="auto"/>
                    <w:right w:val="none" w:sz="0" w:space="0" w:color="auto"/>
                  </w:divBdr>
                  <w:divsChild>
                    <w:div w:id="1177496531">
                      <w:marLeft w:val="0"/>
                      <w:marRight w:val="0"/>
                      <w:marTop w:val="0"/>
                      <w:marBottom w:val="0"/>
                      <w:divBdr>
                        <w:top w:val="none" w:sz="0" w:space="0" w:color="auto"/>
                        <w:left w:val="none" w:sz="0" w:space="0" w:color="auto"/>
                        <w:bottom w:val="none" w:sz="0" w:space="0" w:color="auto"/>
                        <w:right w:val="none" w:sz="0" w:space="0" w:color="auto"/>
                      </w:divBdr>
                      <w:divsChild>
                        <w:div w:id="233055827">
                          <w:marLeft w:val="0"/>
                          <w:marRight w:val="0"/>
                          <w:marTop w:val="0"/>
                          <w:marBottom w:val="0"/>
                          <w:divBdr>
                            <w:top w:val="none" w:sz="0" w:space="0" w:color="auto"/>
                            <w:left w:val="none" w:sz="0" w:space="0" w:color="auto"/>
                            <w:bottom w:val="none" w:sz="0" w:space="0" w:color="auto"/>
                            <w:right w:val="none" w:sz="0" w:space="0" w:color="auto"/>
                          </w:divBdr>
                          <w:divsChild>
                            <w:div w:id="598684305">
                              <w:marLeft w:val="0"/>
                              <w:marRight w:val="0"/>
                              <w:marTop w:val="0"/>
                              <w:marBottom w:val="0"/>
                              <w:divBdr>
                                <w:top w:val="none" w:sz="0" w:space="0" w:color="auto"/>
                                <w:left w:val="none" w:sz="0" w:space="0" w:color="auto"/>
                                <w:bottom w:val="none" w:sz="0" w:space="0" w:color="auto"/>
                                <w:right w:val="none" w:sz="0" w:space="0" w:color="auto"/>
                              </w:divBdr>
                              <w:divsChild>
                                <w:div w:id="530191162">
                                  <w:marLeft w:val="0"/>
                                  <w:marRight w:val="0"/>
                                  <w:marTop w:val="0"/>
                                  <w:marBottom w:val="0"/>
                                  <w:divBdr>
                                    <w:top w:val="none" w:sz="0" w:space="0" w:color="auto"/>
                                    <w:left w:val="none" w:sz="0" w:space="0" w:color="auto"/>
                                    <w:bottom w:val="none" w:sz="0" w:space="0" w:color="auto"/>
                                    <w:right w:val="none" w:sz="0" w:space="0" w:color="auto"/>
                                  </w:divBdr>
                                  <w:divsChild>
                                    <w:div w:id="525601009">
                                      <w:marLeft w:val="0"/>
                                      <w:marRight w:val="0"/>
                                      <w:marTop w:val="0"/>
                                      <w:marBottom w:val="0"/>
                                      <w:divBdr>
                                        <w:top w:val="none" w:sz="0" w:space="0" w:color="auto"/>
                                        <w:left w:val="none" w:sz="0" w:space="0" w:color="auto"/>
                                        <w:bottom w:val="none" w:sz="0" w:space="0" w:color="auto"/>
                                        <w:right w:val="none" w:sz="0" w:space="0" w:color="auto"/>
                                      </w:divBdr>
                                      <w:divsChild>
                                        <w:div w:id="491486831">
                                          <w:marLeft w:val="0"/>
                                          <w:marRight w:val="0"/>
                                          <w:marTop w:val="0"/>
                                          <w:marBottom w:val="0"/>
                                          <w:divBdr>
                                            <w:top w:val="none" w:sz="0" w:space="0" w:color="auto"/>
                                            <w:left w:val="none" w:sz="0" w:space="0" w:color="auto"/>
                                            <w:bottom w:val="none" w:sz="0" w:space="0" w:color="auto"/>
                                            <w:right w:val="none" w:sz="0" w:space="0" w:color="auto"/>
                                          </w:divBdr>
                                          <w:divsChild>
                                            <w:div w:id="1036199899">
                                              <w:marLeft w:val="0"/>
                                              <w:marRight w:val="0"/>
                                              <w:marTop w:val="150"/>
                                              <w:marBottom w:val="0"/>
                                              <w:divBdr>
                                                <w:top w:val="dotted" w:sz="6" w:space="8" w:color="333333"/>
                                                <w:left w:val="none" w:sz="0" w:space="0" w:color="auto"/>
                                                <w:bottom w:val="none" w:sz="0" w:space="0" w:color="auto"/>
                                                <w:right w:val="none" w:sz="0" w:space="0" w:color="auto"/>
                                              </w:divBdr>
                                              <w:divsChild>
                                                <w:div w:id="1938908329">
                                                  <w:marLeft w:val="0"/>
                                                  <w:marRight w:val="0"/>
                                                  <w:marTop w:val="0"/>
                                                  <w:marBottom w:val="0"/>
                                                  <w:divBdr>
                                                    <w:top w:val="none" w:sz="0" w:space="0" w:color="auto"/>
                                                    <w:left w:val="none" w:sz="0" w:space="0" w:color="auto"/>
                                                    <w:bottom w:val="none" w:sz="0" w:space="0" w:color="auto"/>
                                                    <w:right w:val="none" w:sz="0" w:space="0" w:color="auto"/>
                                                  </w:divBdr>
                                                  <w:divsChild>
                                                    <w:div w:id="1126465364">
                                                      <w:marLeft w:val="0"/>
                                                      <w:marRight w:val="0"/>
                                                      <w:marTop w:val="0"/>
                                                      <w:marBottom w:val="0"/>
                                                      <w:divBdr>
                                                        <w:top w:val="none" w:sz="0" w:space="0" w:color="auto"/>
                                                        <w:left w:val="none" w:sz="0" w:space="0" w:color="auto"/>
                                                        <w:bottom w:val="none" w:sz="0" w:space="0" w:color="auto"/>
                                                        <w:right w:val="none" w:sz="0" w:space="0" w:color="auto"/>
                                                      </w:divBdr>
                                                      <w:divsChild>
                                                        <w:div w:id="111098769">
                                                          <w:marLeft w:val="0"/>
                                                          <w:marRight w:val="0"/>
                                                          <w:marTop w:val="0"/>
                                                          <w:marBottom w:val="0"/>
                                                          <w:divBdr>
                                                            <w:top w:val="none" w:sz="0" w:space="0" w:color="auto"/>
                                                            <w:left w:val="none" w:sz="0" w:space="0" w:color="auto"/>
                                                            <w:bottom w:val="none" w:sz="0" w:space="0" w:color="auto"/>
                                                            <w:right w:val="none" w:sz="0" w:space="0" w:color="auto"/>
                                                          </w:divBdr>
                                                          <w:divsChild>
                                                            <w:div w:id="133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1004248">
      <w:bodyDiv w:val="1"/>
      <w:marLeft w:val="0"/>
      <w:marRight w:val="0"/>
      <w:marTop w:val="0"/>
      <w:marBottom w:val="0"/>
      <w:divBdr>
        <w:top w:val="none" w:sz="0" w:space="0" w:color="auto"/>
        <w:left w:val="none" w:sz="0" w:space="0" w:color="auto"/>
        <w:bottom w:val="none" w:sz="0" w:space="0" w:color="auto"/>
        <w:right w:val="none" w:sz="0" w:space="0" w:color="auto"/>
      </w:divBdr>
    </w:div>
    <w:div w:id="1370227057">
      <w:bodyDiv w:val="1"/>
      <w:marLeft w:val="0"/>
      <w:marRight w:val="0"/>
      <w:marTop w:val="0"/>
      <w:marBottom w:val="0"/>
      <w:divBdr>
        <w:top w:val="none" w:sz="0" w:space="0" w:color="auto"/>
        <w:left w:val="none" w:sz="0" w:space="0" w:color="auto"/>
        <w:bottom w:val="none" w:sz="0" w:space="0" w:color="auto"/>
        <w:right w:val="none" w:sz="0" w:space="0" w:color="auto"/>
      </w:divBdr>
    </w:div>
    <w:div w:id="1387416534">
      <w:bodyDiv w:val="1"/>
      <w:marLeft w:val="0"/>
      <w:marRight w:val="0"/>
      <w:marTop w:val="0"/>
      <w:marBottom w:val="0"/>
      <w:divBdr>
        <w:top w:val="none" w:sz="0" w:space="0" w:color="auto"/>
        <w:left w:val="none" w:sz="0" w:space="0" w:color="auto"/>
        <w:bottom w:val="none" w:sz="0" w:space="0" w:color="auto"/>
        <w:right w:val="none" w:sz="0" w:space="0" w:color="auto"/>
      </w:divBdr>
      <w:divsChild>
        <w:div w:id="1820684001">
          <w:marLeft w:val="0"/>
          <w:marRight w:val="0"/>
          <w:marTop w:val="0"/>
          <w:marBottom w:val="0"/>
          <w:divBdr>
            <w:top w:val="none" w:sz="0" w:space="0" w:color="auto"/>
            <w:left w:val="none" w:sz="0" w:space="0" w:color="auto"/>
            <w:bottom w:val="none" w:sz="0" w:space="0" w:color="auto"/>
            <w:right w:val="none" w:sz="0" w:space="0" w:color="auto"/>
          </w:divBdr>
          <w:divsChild>
            <w:div w:id="1163281352">
              <w:marLeft w:val="0"/>
              <w:marRight w:val="0"/>
              <w:marTop w:val="0"/>
              <w:marBottom w:val="0"/>
              <w:divBdr>
                <w:top w:val="none" w:sz="0" w:space="0" w:color="auto"/>
                <w:left w:val="none" w:sz="0" w:space="0" w:color="auto"/>
                <w:bottom w:val="none" w:sz="0" w:space="0" w:color="auto"/>
                <w:right w:val="none" w:sz="0" w:space="0" w:color="auto"/>
              </w:divBdr>
              <w:divsChild>
                <w:div w:id="1162624940">
                  <w:marLeft w:val="0"/>
                  <w:marRight w:val="0"/>
                  <w:marTop w:val="0"/>
                  <w:marBottom w:val="0"/>
                  <w:divBdr>
                    <w:top w:val="none" w:sz="0" w:space="0" w:color="auto"/>
                    <w:left w:val="none" w:sz="0" w:space="0" w:color="auto"/>
                    <w:bottom w:val="none" w:sz="0" w:space="0" w:color="auto"/>
                    <w:right w:val="none" w:sz="0" w:space="0" w:color="auto"/>
                  </w:divBdr>
                  <w:divsChild>
                    <w:div w:id="974918976">
                      <w:marLeft w:val="0"/>
                      <w:marRight w:val="0"/>
                      <w:marTop w:val="0"/>
                      <w:marBottom w:val="0"/>
                      <w:divBdr>
                        <w:top w:val="none" w:sz="0" w:space="0" w:color="auto"/>
                        <w:left w:val="none" w:sz="0" w:space="0" w:color="auto"/>
                        <w:bottom w:val="none" w:sz="0" w:space="0" w:color="auto"/>
                        <w:right w:val="none" w:sz="0" w:space="0" w:color="auto"/>
                      </w:divBdr>
                      <w:divsChild>
                        <w:div w:id="10440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62291">
      <w:bodyDiv w:val="1"/>
      <w:marLeft w:val="0"/>
      <w:marRight w:val="0"/>
      <w:marTop w:val="0"/>
      <w:marBottom w:val="0"/>
      <w:divBdr>
        <w:top w:val="none" w:sz="0" w:space="0" w:color="auto"/>
        <w:left w:val="none" w:sz="0" w:space="0" w:color="auto"/>
        <w:bottom w:val="none" w:sz="0" w:space="0" w:color="auto"/>
        <w:right w:val="none" w:sz="0" w:space="0" w:color="auto"/>
      </w:divBdr>
    </w:div>
    <w:div w:id="1549028808">
      <w:bodyDiv w:val="1"/>
      <w:marLeft w:val="0"/>
      <w:marRight w:val="0"/>
      <w:marTop w:val="0"/>
      <w:marBottom w:val="0"/>
      <w:divBdr>
        <w:top w:val="none" w:sz="0" w:space="0" w:color="auto"/>
        <w:left w:val="none" w:sz="0" w:space="0" w:color="auto"/>
        <w:bottom w:val="none" w:sz="0" w:space="0" w:color="auto"/>
        <w:right w:val="none" w:sz="0" w:space="0" w:color="auto"/>
      </w:divBdr>
    </w:div>
    <w:div w:id="1600985577">
      <w:bodyDiv w:val="1"/>
      <w:marLeft w:val="0"/>
      <w:marRight w:val="0"/>
      <w:marTop w:val="0"/>
      <w:marBottom w:val="0"/>
      <w:divBdr>
        <w:top w:val="none" w:sz="0" w:space="0" w:color="auto"/>
        <w:left w:val="none" w:sz="0" w:space="0" w:color="auto"/>
        <w:bottom w:val="none" w:sz="0" w:space="0" w:color="auto"/>
        <w:right w:val="none" w:sz="0" w:space="0" w:color="auto"/>
      </w:divBdr>
    </w:div>
    <w:div w:id="1610506943">
      <w:bodyDiv w:val="1"/>
      <w:marLeft w:val="0"/>
      <w:marRight w:val="0"/>
      <w:marTop w:val="0"/>
      <w:marBottom w:val="0"/>
      <w:divBdr>
        <w:top w:val="none" w:sz="0" w:space="0" w:color="auto"/>
        <w:left w:val="none" w:sz="0" w:space="0" w:color="auto"/>
        <w:bottom w:val="none" w:sz="0" w:space="0" w:color="auto"/>
        <w:right w:val="none" w:sz="0" w:space="0" w:color="auto"/>
      </w:divBdr>
      <w:divsChild>
        <w:div w:id="1240211397">
          <w:marLeft w:val="0"/>
          <w:marRight w:val="0"/>
          <w:marTop w:val="0"/>
          <w:marBottom w:val="0"/>
          <w:divBdr>
            <w:top w:val="none" w:sz="0" w:space="0" w:color="auto"/>
            <w:left w:val="none" w:sz="0" w:space="0" w:color="auto"/>
            <w:bottom w:val="none" w:sz="0" w:space="0" w:color="auto"/>
            <w:right w:val="none" w:sz="0" w:space="0" w:color="auto"/>
          </w:divBdr>
          <w:divsChild>
            <w:div w:id="1013725093">
              <w:marLeft w:val="0"/>
              <w:marRight w:val="0"/>
              <w:marTop w:val="0"/>
              <w:marBottom w:val="0"/>
              <w:divBdr>
                <w:top w:val="none" w:sz="0" w:space="0" w:color="auto"/>
                <w:left w:val="none" w:sz="0" w:space="0" w:color="auto"/>
                <w:bottom w:val="none" w:sz="0" w:space="0" w:color="auto"/>
                <w:right w:val="none" w:sz="0" w:space="0" w:color="auto"/>
              </w:divBdr>
              <w:divsChild>
                <w:div w:id="806052442">
                  <w:marLeft w:val="0"/>
                  <w:marRight w:val="0"/>
                  <w:marTop w:val="0"/>
                  <w:marBottom w:val="0"/>
                  <w:divBdr>
                    <w:top w:val="none" w:sz="0" w:space="0" w:color="auto"/>
                    <w:left w:val="none" w:sz="0" w:space="0" w:color="auto"/>
                    <w:bottom w:val="none" w:sz="0" w:space="0" w:color="auto"/>
                    <w:right w:val="none" w:sz="0" w:space="0" w:color="auto"/>
                  </w:divBdr>
                  <w:divsChild>
                    <w:div w:id="1268197510">
                      <w:marLeft w:val="0"/>
                      <w:marRight w:val="0"/>
                      <w:marTop w:val="0"/>
                      <w:marBottom w:val="0"/>
                      <w:divBdr>
                        <w:top w:val="none" w:sz="0" w:space="0" w:color="auto"/>
                        <w:left w:val="none" w:sz="0" w:space="0" w:color="auto"/>
                        <w:bottom w:val="none" w:sz="0" w:space="0" w:color="auto"/>
                        <w:right w:val="none" w:sz="0" w:space="0" w:color="auto"/>
                      </w:divBdr>
                      <w:divsChild>
                        <w:div w:id="17706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6503">
      <w:bodyDiv w:val="1"/>
      <w:marLeft w:val="0"/>
      <w:marRight w:val="0"/>
      <w:marTop w:val="0"/>
      <w:marBottom w:val="0"/>
      <w:divBdr>
        <w:top w:val="none" w:sz="0" w:space="0" w:color="auto"/>
        <w:left w:val="none" w:sz="0" w:space="0" w:color="auto"/>
        <w:bottom w:val="none" w:sz="0" w:space="0" w:color="auto"/>
        <w:right w:val="none" w:sz="0" w:space="0" w:color="auto"/>
      </w:divBdr>
    </w:div>
    <w:div w:id="1825589275">
      <w:bodyDiv w:val="1"/>
      <w:marLeft w:val="0"/>
      <w:marRight w:val="0"/>
      <w:marTop w:val="0"/>
      <w:marBottom w:val="0"/>
      <w:divBdr>
        <w:top w:val="none" w:sz="0" w:space="0" w:color="auto"/>
        <w:left w:val="none" w:sz="0" w:space="0" w:color="auto"/>
        <w:bottom w:val="none" w:sz="0" w:space="0" w:color="auto"/>
        <w:right w:val="none" w:sz="0" w:space="0" w:color="auto"/>
      </w:divBdr>
      <w:divsChild>
        <w:div w:id="1412115318">
          <w:marLeft w:val="0"/>
          <w:marRight w:val="0"/>
          <w:marTop w:val="0"/>
          <w:marBottom w:val="0"/>
          <w:divBdr>
            <w:top w:val="none" w:sz="0" w:space="0" w:color="auto"/>
            <w:left w:val="none" w:sz="0" w:space="0" w:color="auto"/>
            <w:bottom w:val="none" w:sz="0" w:space="0" w:color="auto"/>
            <w:right w:val="none" w:sz="0" w:space="0" w:color="auto"/>
          </w:divBdr>
          <w:divsChild>
            <w:div w:id="1425806900">
              <w:marLeft w:val="0"/>
              <w:marRight w:val="0"/>
              <w:marTop w:val="0"/>
              <w:marBottom w:val="0"/>
              <w:divBdr>
                <w:top w:val="none" w:sz="0" w:space="0" w:color="auto"/>
                <w:left w:val="none" w:sz="0" w:space="0" w:color="auto"/>
                <w:bottom w:val="none" w:sz="0" w:space="0" w:color="auto"/>
                <w:right w:val="none" w:sz="0" w:space="0" w:color="auto"/>
              </w:divBdr>
              <w:divsChild>
                <w:div w:id="1365712206">
                  <w:marLeft w:val="0"/>
                  <w:marRight w:val="0"/>
                  <w:marTop w:val="0"/>
                  <w:marBottom w:val="0"/>
                  <w:divBdr>
                    <w:top w:val="none" w:sz="0" w:space="0" w:color="auto"/>
                    <w:left w:val="none" w:sz="0" w:space="0" w:color="auto"/>
                    <w:bottom w:val="none" w:sz="0" w:space="0" w:color="auto"/>
                    <w:right w:val="none" w:sz="0" w:space="0" w:color="auto"/>
                  </w:divBdr>
                  <w:divsChild>
                    <w:div w:id="1361207038">
                      <w:marLeft w:val="0"/>
                      <w:marRight w:val="0"/>
                      <w:marTop w:val="0"/>
                      <w:marBottom w:val="0"/>
                      <w:divBdr>
                        <w:top w:val="none" w:sz="0" w:space="0" w:color="auto"/>
                        <w:left w:val="none" w:sz="0" w:space="0" w:color="auto"/>
                        <w:bottom w:val="none" w:sz="0" w:space="0" w:color="auto"/>
                        <w:right w:val="none" w:sz="0" w:space="0" w:color="auto"/>
                      </w:divBdr>
                      <w:divsChild>
                        <w:div w:id="255285623">
                          <w:marLeft w:val="0"/>
                          <w:marRight w:val="0"/>
                          <w:marTop w:val="0"/>
                          <w:marBottom w:val="0"/>
                          <w:divBdr>
                            <w:top w:val="none" w:sz="0" w:space="0" w:color="auto"/>
                            <w:left w:val="none" w:sz="0" w:space="0" w:color="auto"/>
                            <w:bottom w:val="none" w:sz="0" w:space="0" w:color="auto"/>
                            <w:right w:val="none" w:sz="0" w:space="0" w:color="auto"/>
                          </w:divBdr>
                          <w:divsChild>
                            <w:div w:id="183834039">
                              <w:marLeft w:val="0"/>
                              <w:marRight w:val="0"/>
                              <w:marTop w:val="0"/>
                              <w:marBottom w:val="0"/>
                              <w:divBdr>
                                <w:top w:val="none" w:sz="0" w:space="0" w:color="auto"/>
                                <w:left w:val="none" w:sz="0" w:space="0" w:color="auto"/>
                                <w:bottom w:val="none" w:sz="0" w:space="0" w:color="auto"/>
                                <w:right w:val="none" w:sz="0" w:space="0" w:color="auto"/>
                              </w:divBdr>
                              <w:divsChild>
                                <w:div w:id="1443262569">
                                  <w:marLeft w:val="0"/>
                                  <w:marRight w:val="0"/>
                                  <w:marTop w:val="0"/>
                                  <w:marBottom w:val="0"/>
                                  <w:divBdr>
                                    <w:top w:val="none" w:sz="0" w:space="0" w:color="auto"/>
                                    <w:left w:val="none" w:sz="0" w:space="0" w:color="auto"/>
                                    <w:bottom w:val="none" w:sz="0" w:space="0" w:color="auto"/>
                                    <w:right w:val="none" w:sz="0" w:space="0" w:color="auto"/>
                                  </w:divBdr>
                                  <w:divsChild>
                                    <w:div w:id="1949041366">
                                      <w:marLeft w:val="0"/>
                                      <w:marRight w:val="0"/>
                                      <w:marTop w:val="0"/>
                                      <w:marBottom w:val="0"/>
                                      <w:divBdr>
                                        <w:top w:val="none" w:sz="0" w:space="0" w:color="auto"/>
                                        <w:left w:val="none" w:sz="0" w:space="0" w:color="auto"/>
                                        <w:bottom w:val="none" w:sz="0" w:space="0" w:color="auto"/>
                                        <w:right w:val="none" w:sz="0" w:space="0" w:color="auto"/>
                                      </w:divBdr>
                                      <w:divsChild>
                                        <w:div w:id="1924103940">
                                          <w:marLeft w:val="0"/>
                                          <w:marRight w:val="0"/>
                                          <w:marTop w:val="0"/>
                                          <w:marBottom w:val="0"/>
                                          <w:divBdr>
                                            <w:top w:val="none" w:sz="0" w:space="0" w:color="auto"/>
                                            <w:left w:val="none" w:sz="0" w:space="0" w:color="auto"/>
                                            <w:bottom w:val="none" w:sz="0" w:space="0" w:color="auto"/>
                                            <w:right w:val="none" w:sz="0" w:space="0" w:color="auto"/>
                                          </w:divBdr>
                                          <w:divsChild>
                                            <w:div w:id="1128671631">
                                              <w:marLeft w:val="0"/>
                                              <w:marRight w:val="0"/>
                                              <w:marTop w:val="150"/>
                                              <w:marBottom w:val="0"/>
                                              <w:divBdr>
                                                <w:top w:val="dotted" w:sz="6" w:space="8" w:color="333333"/>
                                                <w:left w:val="none" w:sz="0" w:space="0" w:color="auto"/>
                                                <w:bottom w:val="none" w:sz="0" w:space="0" w:color="auto"/>
                                                <w:right w:val="none" w:sz="0" w:space="0" w:color="auto"/>
                                              </w:divBdr>
                                              <w:divsChild>
                                                <w:div w:id="413086795">
                                                  <w:marLeft w:val="0"/>
                                                  <w:marRight w:val="0"/>
                                                  <w:marTop w:val="0"/>
                                                  <w:marBottom w:val="0"/>
                                                  <w:divBdr>
                                                    <w:top w:val="none" w:sz="0" w:space="0" w:color="auto"/>
                                                    <w:left w:val="none" w:sz="0" w:space="0" w:color="auto"/>
                                                    <w:bottom w:val="none" w:sz="0" w:space="0" w:color="auto"/>
                                                    <w:right w:val="none" w:sz="0" w:space="0" w:color="auto"/>
                                                  </w:divBdr>
                                                  <w:divsChild>
                                                    <w:div w:id="1944802077">
                                                      <w:marLeft w:val="0"/>
                                                      <w:marRight w:val="0"/>
                                                      <w:marTop w:val="0"/>
                                                      <w:marBottom w:val="0"/>
                                                      <w:divBdr>
                                                        <w:top w:val="none" w:sz="0" w:space="0" w:color="auto"/>
                                                        <w:left w:val="none" w:sz="0" w:space="0" w:color="auto"/>
                                                        <w:bottom w:val="none" w:sz="0" w:space="0" w:color="auto"/>
                                                        <w:right w:val="none" w:sz="0" w:space="0" w:color="auto"/>
                                                      </w:divBdr>
                                                      <w:divsChild>
                                                        <w:div w:id="486285010">
                                                          <w:marLeft w:val="0"/>
                                                          <w:marRight w:val="0"/>
                                                          <w:marTop w:val="0"/>
                                                          <w:marBottom w:val="0"/>
                                                          <w:divBdr>
                                                            <w:top w:val="none" w:sz="0" w:space="0" w:color="auto"/>
                                                            <w:left w:val="none" w:sz="0" w:space="0" w:color="auto"/>
                                                            <w:bottom w:val="none" w:sz="0" w:space="0" w:color="auto"/>
                                                            <w:right w:val="none" w:sz="0" w:space="0" w:color="auto"/>
                                                          </w:divBdr>
                                                          <w:divsChild>
                                                            <w:div w:id="2096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907456">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53584278">
      <w:bodyDiv w:val="1"/>
      <w:marLeft w:val="0"/>
      <w:marRight w:val="0"/>
      <w:marTop w:val="0"/>
      <w:marBottom w:val="0"/>
      <w:divBdr>
        <w:top w:val="none" w:sz="0" w:space="0" w:color="auto"/>
        <w:left w:val="none" w:sz="0" w:space="0" w:color="auto"/>
        <w:bottom w:val="none" w:sz="0" w:space="0" w:color="auto"/>
        <w:right w:val="none" w:sz="0" w:space="0" w:color="auto"/>
      </w:divBdr>
    </w:div>
    <w:div w:id="1994332012">
      <w:bodyDiv w:val="1"/>
      <w:marLeft w:val="0"/>
      <w:marRight w:val="0"/>
      <w:marTop w:val="0"/>
      <w:marBottom w:val="0"/>
      <w:divBdr>
        <w:top w:val="none" w:sz="0" w:space="0" w:color="auto"/>
        <w:left w:val="none" w:sz="0" w:space="0" w:color="auto"/>
        <w:bottom w:val="none" w:sz="0" w:space="0" w:color="auto"/>
        <w:right w:val="none" w:sz="0" w:space="0" w:color="auto"/>
      </w:divBdr>
      <w:divsChild>
        <w:div w:id="2035842033">
          <w:marLeft w:val="0"/>
          <w:marRight w:val="0"/>
          <w:marTop w:val="0"/>
          <w:marBottom w:val="0"/>
          <w:divBdr>
            <w:top w:val="none" w:sz="0" w:space="0" w:color="auto"/>
            <w:left w:val="none" w:sz="0" w:space="0" w:color="auto"/>
            <w:bottom w:val="none" w:sz="0" w:space="0" w:color="auto"/>
            <w:right w:val="none" w:sz="0" w:space="0" w:color="auto"/>
          </w:divBdr>
          <w:divsChild>
            <w:div w:id="1257635893">
              <w:marLeft w:val="0"/>
              <w:marRight w:val="0"/>
              <w:marTop w:val="0"/>
              <w:marBottom w:val="0"/>
              <w:divBdr>
                <w:top w:val="none" w:sz="0" w:space="0" w:color="auto"/>
                <w:left w:val="none" w:sz="0" w:space="0" w:color="auto"/>
                <w:bottom w:val="none" w:sz="0" w:space="0" w:color="auto"/>
                <w:right w:val="none" w:sz="0" w:space="0" w:color="auto"/>
              </w:divBdr>
              <w:divsChild>
                <w:div w:id="884559482">
                  <w:marLeft w:val="0"/>
                  <w:marRight w:val="0"/>
                  <w:marTop w:val="600"/>
                  <w:marBottom w:val="600"/>
                  <w:divBdr>
                    <w:top w:val="none" w:sz="0" w:space="0" w:color="auto"/>
                    <w:left w:val="none" w:sz="0" w:space="0" w:color="auto"/>
                    <w:bottom w:val="none" w:sz="0" w:space="0" w:color="auto"/>
                    <w:right w:val="none" w:sz="0" w:space="0" w:color="auto"/>
                  </w:divBdr>
                  <w:divsChild>
                    <w:div w:id="1736851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3797732">
      <w:bodyDiv w:val="1"/>
      <w:marLeft w:val="0"/>
      <w:marRight w:val="0"/>
      <w:marTop w:val="0"/>
      <w:marBottom w:val="0"/>
      <w:divBdr>
        <w:top w:val="none" w:sz="0" w:space="0" w:color="auto"/>
        <w:left w:val="none" w:sz="0" w:space="0" w:color="auto"/>
        <w:bottom w:val="none" w:sz="0" w:space="0" w:color="auto"/>
        <w:right w:val="none" w:sz="0" w:space="0" w:color="auto"/>
      </w:divBdr>
    </w:div>
    <w:div w:id="2034765720">
      <w:bodyDiv w:val="1"/>
      <w:marLeft w:val="0"/>
      <w:marRight w:val="0"/>
      <w:marTop w:val="0"/>
      <w:marBottom w:val="0"/>
      <w:divBdr>
        <w:top w:val="none" w:sz="0" w:space="0" w:color="auto"/>
        <w:left w:val="none" w:sz="0" w:space="0" w:color="auto"/>
        <w:bottom w:val="none" w:sz="0" w:space="0" w:color="auto"/>
        <w:right w:val="none" w:sz="0" w:space="0" w:color="auto"/>
      </w:divBdr>
    </w:div>
    <w:div w:id="2047632766">
      <w:bodyDiv w:val="1"/>
      <w:marLeft w:val="0"/>
      <w:marRight w:val="0"/>
      <w:marTop w:val="0"/>
      <w:marBottom w:val="0"/>
      <w:divBdr>
        <w:top w:val="none" w:sz="0" w:space="0" w:color="auto"/>
        <w:left w:val="none" w:sz="0" w:space="0" w:color="auto"/>
        <w:bottom w:val="none" w:sz="0" w:space="0" w:color="auto"/>
        <w:right w:val="none" w:sz="0" w:space="0" w:color="auto"/>
      </w:divBdr>
    </w:div>
    <w:div w:id="2065715425">
      <w:bodyDiv w:val="1"/>
      <w:marLeft w:val="0"/>
      <w:marRight w:val="0"/>
      <w:marTop w:val="0"/>
      <w:marBottom w:val="0"/>
      <w:divBdr>
        <w:top w:val="none" w:sz="0" w:space="0" w:color="auto"/>
        <w:left w:val="none" w:sz="0" w:space="0" w:color="auto"/>
        <w:bottom w:val="none" w:sz="0" w:space="0" w:color="auto"/>
        <w:right w:val="none" w:sz="0" w:space="0" w:color="auto"/>
      </w:divBdr>
    </w:div>
    <w:div w:id="20900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heffieldcityregi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R Branding Guidelines">
      <a:dk1>
        <a:sysClr val="windowText" lastClr="000000"/>
      </a:dk1>
      <a:lt1>
        <a:sysClr val="window" lastClr="FFFFFF"/>
      </a:lt1>
      <a:dk2>
        <a:srgbClr val="799C4B"/>
      </a:dk2>
      <a:lt2>
        <a:srgbClr val="81BC00"/>
      </a:lt2>
      <a:accent1>
        <a:srgbClr val="707271"/>
      </a:accent1>
      <a:accent2>
        <a:srgbClr val="00956E"/>
      </a:accent2>
      <a:accent3>
        <a:srgbClr val="8A8D8E"/>
      </a:accent3>
      <a:accent4>
        <a:srgbClr val="3F2B56"/>
      </a:accent4>
      <a:accent5>
        <a:srgbClr val="BCBCBC"/>
      </a:accent5>
      <a:accent6>
        <a:srgbClr val="EC671C"/>
      </a:accent6>
      <a:hlink>
        <a:srgbClr val="248D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1979-5DFA-4452-86C2-CBF34DA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Jeni (CEX)</dc:creator>
  <cp:lastModifiedBy>Charlotte Shu</cp:lastModifiedBy>
  <cp:revision>2</cp:revision>
  <cp:lastPrinted>2018-09-14T07:43:00Z</cp:lastPrinted>
  <dcterms:created xsi:type="dcterms:W3CDTF">2021-08-24T14:02:00Z</dcterms:created>
  <dcterms:modified xsi:type="dcterms:W3CDTF">2021-08-24T14:02:00Z</dcterms:modified>
</cp:coreProperties>
</file>